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66" w:rsidRDefault="00FC2C66" w:rsidP="00FC2C66">
      <w:pPr>
        <w:spacing w:line="360" w:lineRule="auto"/>
        <w:jc w:val="center"/>
        <w:rPr>
          <w:rFonts w:ascii="黑体" w:eastAsia="黑体" w:hAnsi="黑体" w:cs="宋体"/>
          <w:b/>
          <w:bCs/>
          <w:kern w:val="0"/>
          <w:sz w:val="28"/>
          <w:szCs w:val="28"/>
        </w:rPr>
      </w:pPr>
      <w:r w:rsidRPr="00FC2C66">
        <w:rPr>
          <w:rFonts w:ascii="黑体" w:eastAsia="黑体" w:hAnsi="黑体" w:cs="宋体" w:hint="eastAsia"/>
          <w:b/>
          <w:bCs/>
          <w:kern w:val="0"/>
          <w:sz w:val="28"/>
          <w:szCs w:val="28"/>
        </w:rPr>
        <w:t>关于部分现金管理类理财产品销售文件变更的公告</w:t>
      </w:r>
    </w:p>
    <w:p w:rsidR="00FC2C66" w:rsidRDefault="00FC2C66" w:rsidP="00FC2C66">
      <w:pPr>
        <w:spacing w:line="360" w:lineRule="auto"/>
        <w:jc w:val="center"/>
        <w:rPr>
          <w:rFonts w:ascii="黑体" w:eastAsia="黑体" w:hAnsi="黑体" w:cs="宋体"/>
          <w:b/>
          <w:bCs/>
          <w:kern w:val="0"/>
          <w:sz w:val="28"/>
          <w:szCs w:val="28"/>
        </w:rPr>
      </w:pPr>
    </w:p>
    <w:p w:rsidR="00F815E8" w:rsidRPr="00FD7FE2" w:rsidRDefault="008A52E5">
      <w:pPr>
        <w:spacing w:line="360" w:lineRule="auto"/>
        <w:rPr>
          <w:rFonts w:ascii="仿宋_GB2312" w:eastAsia="仿宋_GB2312"/>
          <w:b/>
        </w:rPr>
      </w:pPr>
      <w:r w:rsidRPr="00FD7FE2">
        <w:rPr>
          <w:rFonts w:ascii="仿宋_GB2312" w:eastAsia="仿宋_GB2312" w:hint="eastAsia"/>
          <w:b/>
        </w:rPr>
        <w:t>尊敬的投资者：</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为落实《中国银保监会中国人民银行关于规范现金管理类理财产品管理有关事项的通知》（银保监发【2</w:t>
      </w:r>
      <w:r w:rsidRPr="00FD7FE2">
        <w:rPr>
          <w:rFonts w:ascii="仿宋_GB2312" w:eastAsia="仿宋_GB2312"/>
        </w:rPr>
        <w:t>021</w:t>
      </w:r>
      <w:r w:rsidRPr="00FD7FE2">
        <w:rPr>
          <w:rFonts w:ascii="仿宋_GB2312" w:eastAsia="仿宋_GB2312" w:hint="eastAsia"/>
        </w:rPr>
        <w:t>】2</w:t>
      </w:r>
      <w:r w:rsidRPr="00FD7FE2">
        <w:rPr>
          <w:rFonts w:ascii="仿宋_GB2312" w:eastAsia="仿宋_GB2312"/>
        </w:rPr>
        <w:t>0号</w:t>
      </w:r>
      <w:r w:rsidRPr="00FD7FE2">
        <w:rPr>
          <w:rFonts w:ascii="仿宋_GB2312" w:eastAsia="仿宋_GB2312" w:hint="eastAsia"/>
        </w:rPr>
        <w:t>，</w:t>
      </w:r>
      <w:r w:rsidRPr="00FD7FE2">
        <w:rPr>
          <w:rFonts w:ascii="仿宋_GB2312" w:eastAsia="仿宋_GB2312"/>
        </w:rPr>
        <w:t>以下简称</w:t>
      </w:r>
      <w:r w:rsidRPr="00FD7FE2">
        <w:rPr>
          <w:rFonts w:ascii="仿宋_GB2312" w:eastAsia="仿宋_GB2312" w:hint="eastAsia"/>
        </w:rPr>
        <w:t>“《现金管理新规》”）关于现金管理类理财产品的管理要求，产品管理人现对部分现金管理类理财产品进行调整，并对理财产品销售文件进行变更。</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rPr>
        <w:t>此外</w:t>
      </w:r>
      <w:r w:rsidRPr="00FD7FE2">
        <w:rPr>
          <w:rFonts w:ascii="仿宋_GB2312" w:eastAsia="仿宋_GB2312" w:hint="eastAsia"/>
        </w:rPr>
        <w:t>，出于专业分工的考虑，前述理财产品的管理人计划可能将由兴业银行变更为兴银理财。《商业银行理财业务监督管理办法》（银保监会令2018年第6号）规定“第十四条 商业银行应当通过具有独立法人地位的子公司开展理财业务。”经中国银保监会批准，由兴业银行股份有限公司（以下简称“兴业银行”）100%全资控股且作为兴业银行旗下专业从事资产管理业务/理财业务、发行资产管理产品/理财产品的持牌金融机构——兴银理财有限责任公司（以下简称“兴银理财”），已于2019年12月正式成立。兴银理财注册资本为50亿元人民币，注册地为福建省福州市。兴银理财主要业务范围为：面向不特定社会公众公开发行理财产品，对受托的投资和财产进行投资和管理；面向合格投资者非公开发行理财产品，对受托的投资和财产进行投资和管理；理财顾问和咨询服务；经银保监会批准的其他业务等。考虑到理财产品管理人变更安排的可能性，产品管理人拟对上述理财产品销售文件进行变更。</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为配合落实上述调整，相关理财产品申购赎回安排将临时调整。相关事项公告如下：</w:t>
      </w:r>
    </w:p>
    <w:p w:rsidR="00F815E8" w:rsidRPr="00FD7FE2" w:rsidRDefault="008A52E5">
      <w:pPr>
        <w:spacing w:line="360" w:lineRule="auto"/>
        <w:ind w:firstLine="422"/>
        <w:rPr>
          <w:rFonts w:ascii="仿宋_GB2312" w:eastAsia="仿宋_GB2312"/>
          <w:b/>
        </w:rPr>
      </w:pPr>
      <w:r w:rsidRPr="00FD7FE2">
        <w:rPr>
          <w:rFonts w:ascii="仿宋_GB2312" w:eastAsia="仿宋_GB2312" w:hint="eastAsia"/>
          <w:b/>
        </w:rPr>
        <w:t>一、涉及的现金管理类理财产品</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hint="eastAsia"/>
        </w:rPr>
        <w:t>管理人根据《现金管理新规》要求对部分现金管理类理财产品进行调整，</w:t>
      </w:r>
      <w:r w:rsidRPr="00FD7FE2">
        <w:rPr>
          <w:rFonts w:ascii="仿宋_GB2312" w:eastAsia="仿宋_GB2312" w:cs="宋体" w:hint="eastAsia"/>
          <w:kern w:val="0"/>
          <w:szCs w:val="21"/>
        </w:rPr>
        <w:t>涉及变更的理财产品详见附件</w:t>
      </w:r>
      <w:r w:rsidRPr="00FD7FE2">
        <w:rPr>
          <w:rFonts w:ascii="仿宋_GB2312" w:eastAsia="仿宋_GB2312" w:cs="宋体"/>
          <w:kern w:val="0"/>
          <w:szCs w:val="21"/>
        </w:rPr>
        <w:t>1</w:t>
      </w:r>
      <w:r w:rsidRPr="00FD7FE2">
        <w:rPr>
          <w:rFonts w:ascii="仿宋_GB2312" w:eastAsia="仿宋_GB2312" w:cs="宋体" w:hint="eastAsia"/>
          <w:kern w:val="0"/>
          <w:szCs w:val="21"/>
        </w:rPr>
        <w:t>：理财产品清单。</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二、理财产品销售文件的变更</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hint="eastAsia"/>
          <w:b/>
          <w:bCs/>
          <w:kern w:val="0"/>
          <w:szCs w:val="21"/>
        </w:rPr>
        <w:t>1、理财产品申购/赎回的变更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（1）将原《产品说明书》中“一、产品概述”中“申购和赎回”进行修改。</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原条款为：</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“1.本产品投资封闭期以后，正常情况下每日可提交申购申请。开放日0:00-15:</w:t>
      </w:r>
      <w:r w:rsidRPr="00FD7FE2">
        <w:rPr>
          <w:rFonts w:ascii="仿宋_GB2312" w:eastAsia="仿宋_GB2312" w:cs="宋体"/>
          <w:kern w:val="0"/>
          <w:szCs w:val="21"/>
        </w:rPr>
        <w:t>00</w:t>
      </w:r>
      <w:r w:rsidRPr="00FD7FE2">
        <w:rPr>
          <w:rFonts w:ascii="仿宋_GB2312" w:eastAsia="仿宋_GB2312" w:cs="宋体" w:hint="eastAsia"/>
          <w:kern w:val="0"/>
          <w:szCs w:val="21"/>
        </w:rPr>
        <w:t>内提交的申购申请在当天受理；开放日15:</w:t>
      </w:r>
      <w:r w:rsidRPr="00FD7FE2">
        <w:rPr>
          <w:rFonts w:ascii="仿宋_GB2312" w:eastAsia="仿宋_GB2312" w:cs="宋体"/>
          <w:kern w:val="0"/>
          <w:szCs w:val="21"/>
        </w:rPr>
        <w:t>00</w:t>
      </w:r>
      <w:r w:rsidRPr="00FD7FE2">
        <w:rPr>
          <w:rFonts w:ascii="仿宋_GB2312" w:eastAsia="仿宋_GB2312" w:cs="宋体" w:hint="eastAsia"/>
          <w:kern w:val="0"/>
          <w:szCs w:val="21"/>
        </w:rPr>
        <w:t>-24:00及非开放日提交的申购申请，视同下一个开放日的申购申请处理。</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2.本产品投资封闭期以后，正常情况下每日可提交赎回申请，客户当天提交的赎回申请在当天受理，赎回资金当天划转至客户账户。开放日9:00-15:</w:t>
      </w:r>
      <w:r w:rsidRPr="00FD7FE2">
        <w:rPr>
          <w:rFonts w:ascii="仿宋_GB2312" w:eastAsia="仿宋_GB2312" w:cs="宋体"/>
          <w:kern w:val="0"/>
          <w:szCs w:val="21"/>
        </w:rPr>
        <w:t>00</w:t>
      </w:r>
      <w:r w:rsidRPr="00FD7FE2">
        <w:rPr>
          <w:rFonts w:ascii="仿宋_GB2312" w:eastAsia="仿宋_GB2312" w:cs="宋体" w:hint="eastAsia"/>
          <w:kern w:val="0"/>
          <w:szCs w:val="21"/>
        </w:rPr>
        <w:t>内提交的赎回不受单个客户累计</w:t>
      </w:r>
      <w:r w:rsidRPr="00FD7FE2">
        <w:rPr>
          <w:rFonts w:ascii="仿宋_GB2312" w:eastAsia="仿宋_GB2312" w:cs="宋体" w:hint="eastAsia"/>
          <w:kern w:val="0"/>
          <w:szCs w:val="21"/>
        </w:rPr>
        <w:lastRenderedPageBreak/>
        <w:t>赎回额度限制，开放日15:</w:t>
      </w:r>
      <w:r w:rsidRPr="00FD7FE2">
        <w:rPr>
          <w:rFonts w:ascii="仿宋_GB2312" w:eastAsia="仿宋_GB2312" w:cs="宋体"/>
          <w:kern w:val="0"/>
          <w:szCs w:val="21"/>
        </w:rPr>
        <w:t>00</w:t>
      </w:r>
      <w:r w:rsidRPr="00FD7FE2">
        <w:rPr>
          <w:rFonts w:ascii="仿宋_GB2312" w:eastAsia="仿宋_GB2312" w:cs="宋体" w:hint="eastAsia"/>
          <w:kern w:val="0"/>
          <w:szCs w:val="21"/>
        </w:rPr>
        <w:t>-下一个开放日9:00提交的赎回，单个客户累计赎回上限为5万份。”</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现修改为：</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“1.开放日</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（1）本产品封闭期后的每个【工作日】为开放日，投资者可于开放日内提交申购和赎回申请。</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（2）产品管理人公告暂停开放的日期除外。</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2.申购安排</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（1）申购的时间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本产品封闭期后的每个【工作日】开放申购。投资者可于开放日内申购，产品管理人公告暂停开放的日期除外。</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（2）申购的确认</w:t>
      </w:r>
    </w:p>
    <w:tbl>
      <w:tblPr>
        <w:tblStyle w:val="a8"/>
        <w:tblW w:w="7513"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3"/>
        <w:gridCol w:w="1701"/>
        <w:gridCol w:w="1985"/>
        <w:gridCol w:w="1984"/>
      </w:tblGrid>
      <w:tr w:rsidR="00F815E8" w:rsidRPr="00FD7FE2">
        <w:trPr>
          <w:trHeight w:val="259"/>
        </w:trPr>
        <w:tc>
          <w:tcPr>
            <w:tcW w:w="1843" w:type="dxa"/>
            <w:vAlign w:val="center"/>
          </w:tcPr>
          <w:p w:rsidR="00F815E8" w:rsidRPr="00FD7FE2" w:rsidRDefault="00F815E8">
            <w:pPr>
              <w:pStyle w:val="Default"/>
              <w:ind w:firstLine="361"/>
              <w:jc w:val="center"/>
              <w:rPr>
                <w:rFonts w:asciiTheme="minorEastAsia" w:hAnsiTheme="minorEastAsia"/>
                <w:b/>
                <w:bCs/>
                <w:kern w:val="2"/>
                <w:sz w:val="18"/>
                <w:szCs w:val="18"/>
              </w:rPr>
            </w:pPr>
            <w:r w:rsidRPr="00FD7FE2">
              <w:rPr>
                <w:rFonts w:asciiTheme="majorEastAsia" w:eastAsiaTheme="majorEastAsia" w:hAnsiTheme="majorEastAsia" w:hint="eastAsia"/>
                <w:b/>
                <w:bCs/>
                <w:color w:val="auto"/>
                <w:sz w:val="18"/>
                <w:szCs w:val="18"/>
              </w:rPr>
              <w:t>申购申请日</w:t>
            </w:r>
          </w:p>
        </w:tc>
        <w:tc>
          <w:tcPr>
            <w:tcW w:w="1701" w:type="dxa"/>
            <w:vAlign w:val="center"/>
          </w:tcPr>
          <w:p w:rsidR="00F815E8" w:rsidRPr="00FD7FE2" w:rsidRDefault="00F815E8">
            <w:pPr>
              <w:pStyle w:val="Default"/>
              <w:ind w:firstLine="361"/>
              <w:jc w:val="center"/>
              <w:rPr>
                <w:rFonts w:asciiTheme="minorEastAsia" w:hAnsiTheme="minorEastAsia" w:cs="Times New Roman"/>
                <w:b/>
                <w:bCs/>
                <w:color w:val="auto"/>
                <w:kern w:val="2"/>
                <w:sz w:val="18"/>
                <w:szCs w:val="18"/>
              </w:rPr>
            </w:pPr>
            <w:r w:rsidRPr="00FD7FE2">
              <w:rPr>
                <w:rFonts w:asciiTheme="minorEastAsia" w:hAnsiTheme="minorEastAsia" w:cs="Times New Roman" w:hint="eastAsia"/>
                <w:b/>
                <w:bCs/>
                <w:color w:val="auto"/>
                <w:sz w:val="18"/>
                <w:szCs w:val="18"/>
              </w:rPr>
              <w:t>申购日</w:t>
            </w:r>
          </w:p>
        </w:tc>
        <w:tc>
          <w:tcPr>
            <w:tcW w:w="1985" w:type="dxa"/>
            <w:vAlign w:val="center"/>
          </w:tcPr>
          <w:p w:rsidR="00F815E8" w:rsidRPr="00FD7FE2" w:rsidRDefault="00F815E8">
            <w:pPr>
              <w:pStyle w:val="Default"/>
              <w:ind w:firstLine="361"/>
              <w:jc w:val="center"/>
              <w:rPr>
                <w:rFonts w:asciiTheme="minorEastAsia" w:hAnsiTheme="minorEastAsia"/>
                <w:b/>
                <w:bCs/>
                <w:kern w:val="2"/>
                <w:sz w:val="18"/>
                <w:szCs w:val="18"/>
              </w:rPr>
            </w:pPr>
            <w:r w:rsidRPr="00FD7FE2">
              <w:rPr>
                <w:rFonts w:asciiTheme="minorEastAsia" w:hAnsiTheme="minorEastAsia" w:cs="Times New Roman" w:hint="eastAsia"/>
                <w:b/>
                <w:bCs/>
                <w:color w:val="auto"/>
                <w:sz w:val="18"/>
                <w:szCs w:val="18"/>
              </w:rPr>
              <w:t>申购确认日</w:t>
            </w:r>
          </w:p>
        </w:tc>
        <w:tc>
          <w:tcPr>
            <w:tcW w:w="1984" w:type="dxa"/>
            <w:vAlign w:val="center"/>
          </w:tcPr>
          <w:p w:rsidR="00F815E8" w:rsidRPr="00FD7FE2" w:rsidRDefault="00F815E8">
            <w:pPr>
              <w:pStyle w:val="Default"/>
              <w:ind w:firstLine="361"/>
              <w:jc w:val="center"/>
              <w:rPr>
                <w:rFonts w:asciiTheme="minorEastAsia" w:hAnsiTheme="minorEastAsia" w:cs="Times New Roman"/>
                <w:b/>
                <w:bCs/>
                <w:color w:val="auto"/>
                <w:sz w:val="18"/>
                <w:szCs w:val="18"/>
              </w:rPr>
            </w:pPr>
            <w:r w:rsidRPr="00FD7FE2">
              <w:rPr>
                <w:rFonts w:asciiTheme="minorEastAsia" w:hAnsiTheme="minorEastAsia" w:cs="Times New Roman" w:hint="eastAsia"/>
                <w:b/>
                <w:bCs/>
                <w:color w:val="auto"/>
                <w:sz w:val="18"/>
                <w:szCs w:val="18"/>
              </w:rPr>
              <w:t>申购确认方式</w:t>
            </w:r>
          </w:p>
        </w:tc>
      </w:tr>
      <w:tr w:rsidR="00F815E8" w:rsidRPr="00FD7FE2">
        <w:trPr>
          <w:trHeight w:val="520"/>
        </w:trPr>
        <w:tc>
          <w:tcPr>
            <w:tcW w:w="1843"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开放日内交易时间：</w:t>
            </w:r>
            <w:r w:rsidRPr="00FD7FE2">
              <w:rPr>
                <w:rFonts w:asciiTheme="majorEastAsia" w:eastAsiaTheme="majorEastAsia" w:hAnsiTheme="majorEastAsia"/>
                <w:bCs/>
                <w:color w:val="auto"/>
                <w:sz w:val="18"/>
                <w:szCs w:val="18"/>
              </w:rPr>
              <w:t>【0：00】-【1</w:t>
            </w:r>
            <w:r w:rsidR="008A52E5" w:rsidRPr="00FD7FE2">
              <w:rPr>
                <w:rFonts w:asciiTheme="majorEastAsia" w:eastAsiaTheme="majorEastAsia" w:hAnsiTheme="majorEastAsia" w:hint="eastAsia"/>
                <w:bCs/>
                <w:color w:val="auto"/>
                <w:sz w:val="18"/>
                <w:szCs w:val="18"/>
              </w:rPr>
              <w:t>5</w:t>
            </w:r>
            <w:r w:rsidRPr="00FD7FE2">
              <w:rPr>
                <w:rFonts w:asciiTheme="majorEastAsia" w:eastAsiaTheme="majorEastAsia" w:hAnsiTheme="majorEastAsia" w:hint="eastAsia"/>
                <w:bCs/>
                <w:color w:val="auto"/>
                <w:sz w:val="18"/>
                <w:szCs w:val="18"/>
              </w:rPr>
              <w:t>：</w:t>
            </w:r>
            <w:r w:rsidRPr="00FD7FE2">
              <w:rPr>
                <w:rFonts w:asciiTheme="majorEastAsia" w:eastAsiaTheme="majorEastAsia" w:hAnsiTheme="majorEastAsia"/>
                <w:bCs/>
                <w:color w:val="auto"/>
                <w:sz w:val="18"/>
                <w:szCs w:val="18"/>
              </w:rPr>
              <w:t>00】</w:t>
            </w:r>
          </w:p>
        </w:tc>
        <w:tc>
          <w:tcPr>
            <w:tcW w:w="1701"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申购申请日当日</w:t>
            </w:r>
          </w:p>
        </w:tc>
        <w:tc>
          <w:tcPr>
            <w:tcW w:w="1985" w:type="dxa"/>
            <w:vAlign w:val="center"/>
          </w:tcPr>
          <w:p w:rsidR="00F815E8" w:rsidRPr="00FD7FE2" w:rsidRDefault="00F815E8">
            <w:pPr>
              <w:pStyle w:val="Default"/>
              <w:ind w:firstLine="360"/>
              <w:jc w:val="left"/>
              <w:rPr>
                <w:rFonts w:asciiTheme="majorEastAsia" w:eastAsiaTheme="majorEastAsia" w:hAnsiTheme="majorEastAsia"/>
                <w:bCs/>
                <w:color w:val="auto"/>
                <w:kern w:val="2"/>
                <w:sz w:val="18"/>
                <w:szCs w:val="18"/>
              </w:rPr>
            </w:pPr>
            <w:r w:rsidRPr="00FD7FE2">
              <w:rPr>
                <w:rFonts w:asciiTheme="majorEastAsia" w:eastAsiaTheme="majorEastAsia" w:hAnsiTheme="majorEastAsia" w:hint="eastAsia"/>
                <w:bCs/>
                <w:color w:val="auto"/>
                <w:sz w:val="18"/>
                <w:szCs w:val="18"/>
              </w:rPr>
              <w:t>申购日后的下一个开放日</w:t>
            </w:r>
          </w:p>
        </w:tc>
        <w:tc>
          <w:tcPr>
            <w:tcW w:w="1984" w:type="dxa"/>
            <w:vMerge w:val="restart"/>
          </w:tcPr>
          <w:p w:rsidR="00F815E8" w:rsidRPr="00FD7FE2" w:rsidRDefault="00F815E8">
            <w:pPr>
              <w:pStyle w:val="Default"/>
              <w:ind w:firstLine="360"/>
              <w:jc w:val="left"/>
              <w:rPr>
                <w:rFonts w:asciiTheme="majorEastAsia" w:eastAsiaTheme="majorEastAsia" w:hAnsiTheme="majorEastAsia"/>
                <w:bCs/>
                <w:color w:val="auto"/>
                <w:kern w:val="2"/>
                <w:sz w:val="18"/>
                <w:szCs w:val="18"/>
              </w:rPr>
            </w:pPr>
            <w:r w:rsidRPr="00FD7FE2">
              <w:rPr>
                <w:rFonts w:asciiTheme="majorEastAsia" w:eastAsiaTheme="majorEastAsia" w:hAnsiTheme="majorEastAsia" w:hint="eastAsia"/>
                <w:bCs/>
                <w:color w:val="auto"/>
                <w:sz w:val="18"/>
                <w:szCs w:val="18"/>
              </w:rPr>
              <w:t>产品管理人在申购确认日对投资者的申购申请的有效性进行确认，并登记理财份额。</w:t>
            </w:r>
          </w:p>
        </w:tc>
      </w:tr>
      <w:tr w:rsidR="00F815E8" w:rsidRPr="00FD7FE2">
        <w:trPr>
          <w:trHeight w:val="520"/>
        </w:trPr>
        <w:tc>
          <w:tcPr>
            <w:tcW w:w="1843"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开放日内非交易时间：</w:t>
            </w:r>
            <w:r w:rsidRPr="00FD7FE2">
              <w:rPr>
                <w:rFonts w:asciiTheme="majorEastAsia" w:eastAsiaTheme="majorEastAsia" w:hAnsiTheme="majorEastAsia"/>
                <w:bCs/>
                <w:color w:val="auto"/>
                <w:sz w:val="18"/>
                <w:szCs w:val="18"/>
              </w:rPr>
              <w:t>【1</w:t>
            </w:r>
            <w:r w:rsidR="008A52E5" w:rsidRPr="00FD7FE2">
              <w:rPr>
                <w:rFonts w:asciiTheme="majorEastAsia" w:eastAsiaTheme="majorEastAsia" w:hAnsiTheme="majorEastAsia" w:hint="eastAsia"/>
                <w:bCs/>
                <w:color w:val="auto"/>
                <w:sz w:val="18"/>
                <w:szCs w:val="18"/>
              </w:rPr>
              <w:t>5</w:t>
            </w:r>
            <w:r w:rsidRPr="00FD7FE2">
              <w:rPr>
                <w:rFonts w:asciiTheme="majorEastAsia" w:eastAsiaTheme="majorEastAsia" w:hAnsiTheme="majorEastAsia" w:hint="eastAsia"/>
                <w:bCs/>
                <w:color w:val="auto"/>
                <w:sz w:val="18"/>
                <w:szCs w:val="18"/>
              </w:rPr>
              <w:t>：</w:t>
            </w:r>
            <w:r w:rsidRPr="00FD7FE2">
              <w:rPr>
                <w:rFonts w:asciiTheme="majorEastAsia" w:eastAsiaTheme="majorEastAsia" w:hAnsiTheme="majorEastAsia"/>
                <w:bCs/>
                <w:color w:val="auto"/>
                <w:sz w:val="18"/>
                <w:szCs w:val="18"/>
              </w:rPr>
              <w:t xml:space="preserve">00】-【24：00】 </w:t>
            </w:r>
          </w:p>
        </w:tc>
        <w:tc>
          <w:tcPr>
            <w:tcW w:w="1701"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申购申请日后的下一个开放日</w:t>
            </w:r>
          </w:p>
        </w:tc>
        <w:tc>
          <w:tcPr>
            <w:tcW w:w="1985"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申购日后的下一个开放日</w:t>
            </w:r>
          </w:p>
        </w:tc>
        <w:tc>
          <w:tcPr>
            <w:tcW w:w="1984" w:type="dxa"/>
            <w:vMerge/>
          </w:tcPr>
          <w:p w:rsidR="00F815E8" w:rsidRPr="00FD7FE2" w:rsidRDefault="00F815E8">
            <w:pPr>
              <w:pStyle w:val="Default"/>
              <w:ind w:firstLine="360"/>
              <w:jc w:val="left"/>
              <w:rPr>
                <w:rFonts w:asciiTheme="majorEastAsia" w:eastAsiaTheme="majorEastAsia" w:hAnsiTheme="majorEastAsia"/>
                <w:bCs/>
                <w:color w:val="auto"/>
                <w:kern w:val="2"/>
                <w:sz w:val="18"/>
                <w:szCs w:val="18"/>
              </w:rPr>
            </w:pPr>
          </w:p>
        </w:tc>
      </w:tr>
      <w:tr w:rsidR="00F815E8" w:rsidRPr="00FD7FE2">
        <w:trPr>
          <w:trHeight w:val="520"/>
        </w:trPr>
        <w:tc>
          <w:tcPr>
            <w:tcW w:w="1843"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非开放日</w:t>
            </w:r>
            <w:r w:rsidRPr="00FD7FE2">
              <w:rPr>
                <w:rFonts w:asciiTheme="majorEastAsia" w:eastAsiaTheme="majorEastAsia" w:hAnsiTheme="majorEastAsia"/>
                <w:bCs/>
                <w:color w:val="auto"/>
                <w:sz w:val="18"/>
                <w:szCs w:val="18"/>
              </w:rPr>
              <w:t xml:space="preserve"> </w:t>
            </w:r>
          </w:p>
        </w:tc>
        <w:tc>
          <w:tcPr>
            <w:tcW w:w="1701"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申购申请日后的下一个开放日</w:t>
            </w:r>
          </w:p>
        </w:tc>
        <w:tc>
          <w:tcPr>
            <w:tcW w:w="1985" w:type="dxa"/>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申购日后的下一个开放日</w:t>
            </w:r>
          </w:p>
        </w:tc>
        <w:tc>
          <w:tcPr>
            <w:tcW w:w="1984" w:type="dxa"/>
            <w:vMerge/>
          </w:tcPr>
          <w:p w:rsidR="00F815E8" w:rsidRPr="00FD7FE2" w:rsidRDefault="00F815E8">
            <w:pPr>
              <w:pStyle w:val="Default"/>
              <w:ind w:firstLine="360"/>
              <w:jc w:val="left"/>
              <w:rPr>
                <w:rFonts w:asciiTheme="majorEastAsia" w:eastAsiaTheme="majorEastAsia" w:hAnsiTheme="majorEastAsia"/>
                <w:bCs/>
                <w:color w:val="auto"/>
                <w:kern w:val="2"/>
                <w:sz w:val="18"/>
                <w:szCs w:val="18"/>
              </w:rPr>
            </w:pPr>
          </w:p>
        </w:tc>
      </w:tr>
    </w:tbl>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3.赎回安排</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（1）赎回的时间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本产品封闭期后的每个【工作日】开放赎回。投资者可于开放日内赎回，产品管理人公告暂停开放的日期除外。</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（2）赎回的确认</w:t>
      </w:r>
    </w:p>
    <w:tbl>
      <w:tblPr>
        <w:tblStyle w:val="a8"/>
        <w:tblW w:w="75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33"/>
        <w:gridCol w:w="1701"/>
        <w:gridCol w:w="1984"/>
        <w:gridCol w:w="2043"/>
      </w:tblGrid>
      <w:tr w:rsidR="00F815E8" w:rsidRPr="00FD7FE2">
        <w:trPr>
          <w:trHeight w:val="474"/>
          <w:jc w:val="center"/>
        </w:trPr>
        <w:tc>
          <w:tcPr>
            <w:tcW w:w="1833" w:type="dxa"/>
            <w:vAlign w:val="center"/>
          </w:tcPr>
          <w:p w:rsidR="00F815E8" w:rsidRPr="00FD7FE2" w:rsidRDefault="00F815E8">
            <w:pPr>
              <w:ind w:firstLine="361"/>
              <w:jc w:val="center"/>
              <w:rPr>
                <w:rFonts w:asciiTheme="minorEastAsia" w:eastAsia="宋体" w:hAnsiTheme="minorEastAsia" w:cs="Times New Roman"/>
                <w:b/>
                <w:bCs/>
                <w:sz w:val="18"/>
                <w:szCs w:val="18"/>
              </w:rPr>
            </w:pPr>
            <w:r w:rsidRPr="00FD7FE2">
              <w:rPr>
                <w:rFonts w:asciiTheme="minorEastAsia" w:eastAsia="宋体" w:hAnsiTheme="minorEastAsia" w:cs="Times New Roman" w:hint="eastAsia"/>
                <w:b/>
                <w:bCs/>
                <w:kern w:val="0"/>
                <w:sz w:val="18"/>
                <w:szCs w:val="18"/>
              </w:rPr>
              <w:t>赎回申请日</w:t>
            </w:r>
          </w:p>
        </w:tc>
        <w:tc>
          <w:tcPr>
            <w:tcW w:w="1701" w:type="dxa"/>
          </w:tcPr>
          <w:p w:rsidR="00F815E8" w:rsidRPr="00FD7FE2" w:rsidRDefault="00F815E8">
            <w:pPr>
              <w:ind w:firstLine="361"/>
              <w:jc w:val="center"/>
              <w:rPr>
                <w:rFonts w:asciiTheme="minorEastAsia" w:eastAsia="宋体" w:hAnsiTheme="minorEastAsia" w:cs="Times New Roman"/>
                <w:b/>
                <w:bCs/>
                <w:kern w:val="0"/>
                <w:sz w:val="18"/>
                <w:szCs w:val="18"/>
              </w:rPr>
            </w:pPr>
            <w:r w:rsidRPr="00FD7FE2">
              <w:rPr>
                <w:rFonts w:asciiTheme="minorEastAsia" w:eastAsia="宋体" w:hAnsiTheme="minorEastAsia" w:cs="Times New Roman" w:hint="eastAsia"/>
                <w:b/>
                <w:bCs/>
                <w:kern w:val="0"/>
                <w:sz w:val="18"/>
                <w:szCs w:val="18"/>
              </w:rPr>
              <w:t>赎回</w:t>
            </w:r>
            <w:r w:rsidRPr="00FD7FE2">
              <w:rPr>
                <w:rFonts w:asciiTheme="minorEastAsia" w:eastAsia="宋体" w:hAnsiTheme="minorEastAsia" w:cs="Times New Roman"/>
                <w:b/>
                <w:bCs/>
                <w:kern w:val="0"/>
                <w:sz w:val="18"/>
                <w:szCs w:val="18"/>
              </w:rPr>
              <w:t>日</w:t>
            </w:r>
          </w:p>
        </w:tc>
        <w:tc>
          <w:tcPr>
            <w:tcW w:w="1984" w:type="dxa"/>
            <w:vAlign w:val="center"/>
          </w:tcPr>
          <w:p w:rsidR="00F815E8" w:rsidRPr="00FD7FE2" w:rsidRDefault="00F815E8">
            <w:pPr>
              <w:ind w:firstLine="361"/>
              <w:jc w:val="center"/>
              <w:rPr>
                <w:rFonts w:asciiTheme="minorEastAsia" w:eastAsia="宋体" w:hAnsiTheme="minorEastAsia" w:cs="Times New Roman"/>
                <w:b/>
                <w:bCs/>
                <w:sz w:val="18"/>
                <w:szCs w:val="18"/>
              </w:rPr>
            </w:pPr>
            <w:r w:rsidRPr="00FD7FE2">
              <w:rPr>
                <w:rFonts w:asciiTheme="minorEastAsia" w:eastAsia="宋体" w:hAnsiTheme="minorEastAsia" w:cs="Times New Roman" w:hint="eastAsia"/>
                <w:b/>
                <w:bCs/>
                <w:kern w:val="0"/>
                <w:sz w:val="18"/>
                <w:szCs w:val="18"/>
              </w:rPr>
              <w:t>赎回确认日</w:t>
            </w:r>
          </w:p>
        </w:tc>
        <w:tc>
          <w:tcPr>
            <w:tcW w:w="2043" w:type="dxa"/>
            <w:vAlign w:val="center"/>
          </w:tcPr>
          <w:p w:rsidR="00F815E8" w:rsidRPr="00FD7FE2" w:rsidRDefault="00F815E8">
            <w:pPr>
              <w:ind w:firstLine="361"/>
              <w:jc w:val="center"/>
              <w:rPr>
                <w:rFonts w:asciiTheme="minorEastAsia" w:eastAsia="宋体" w:hAnsiTheme="minorEastAsia" w:cs="Times New Roman"/>
                <w:b/>
                <w:bCs/>
                <w:sz w:val="18"/>
                <w:szCs w:val="18"/>
              </w:rPr>
            </w:pPr>
            <w:r w:rsidRPr="00FD7FE2">
              <w:rPr>
                <w:rFonts w:asciiTheme="minorEastAsia" w:eastAsia="宋体" w:hAnsiTheme="minorEastAsia" w:cs="Times New Roman" w:hint="eastAsia"/>
                <w:b/>
                <w:bCs/>
                <w:kern w:val="0"/>
                <w:sz w:val="18"/>
                <w:szCs w:val="18"/>
              </w:rPr>
              <w:t>赎回确认方式</w:t>
            </w:r>
          </w:p>
        </w:tc>
      </w:tr>
      <w:tr w:rsidR="00F815E8" w:rsidRPr="00FD7FE2">
        <w:trPr>
          <w:trHeight w:val="549"/>
          <w:jc w:val="center"/>
        </w:trPr>
        <w:tc>
          <w:tcPr>
            <w:tcW w:w="1833" w:type="dxa"/>
            <w:tcBorders>
              <w:bottom w:val="single" w:sz="12" w:space="0" w:color="auto"/>
            </w:tcBorders>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开放日内交易时间：</w:t>
            </w:r>
            <w:r w:rsidRPr="00FD7FE2">
              <w:rPr>
                <w:rFonts w:asciiTheme="majorEastAsia" w:eastAsiaTheme="majorEastAsia" w:hAnsiTheme="majorEastAsia"/>
                <w:bCs/>
                <w:color w:val="auto"/>
                <w:sz w:val="18"/>
                <w:szCs w:val="18"/>
              </w:rPr>
              <w:t>【0：00】-【1</w:t>
            </w:r>
            <w:r w:rsidR="008A52E5" w:rsidRPr="00FD7FE2">
              <w:rPr>
                <w:rFonts w:asciiTheme="majorEastAsia" w:eastAsiaTheme="majorEastAsia" w:hAnsiTheme="majorEastAsia" w:hint="eastAsia"/>
                <w:bCs/>
                <w:color w:val="auto"/>
                <w:sz w:val="18"/>
                <w:szCs w:val="18"/>
              </w:rPr>
              <w:t>5</w:t>
            </w:r>
            <w:r w:rsidRPr="00FD7FE2">
              <w:rPr>
                <w:rFonts w:asciiTheme="majorEastAsia" w:eastAsiaTheme="majorEastAsia" w:hAnsiTheme="majorEastAsia" w:hint="eastAsia"/>
                <w:bCs/>
                <w:color w:val="auto"/>
                <w:sz w:val="18"/>
                <w:szCs w:val="18"/>
              </w:rPr>
              <w:t>：</w:t>
            </w:r>
            <w:r w:rsidRPr="00FD7FE2">
              <w:rPr>
                <w:rFonts w:asciiTheme="majorEastAsia" w:eastAsiaTheme="majorEastAsia" w:hAnsiTheme="majorEastAsia"/>
                <w:bCs/>
                <w:color w:val="auto"/>
                <w:sz w:val="18"/>
                <w:szCs w:val="18"/>
              </w:rPr>
              <w:t>00】</w:t>
            </w:r>
          </w:p>
        </w:tc>
        <w:tc>
          <w:tcPr>
            <w:tcW w:w="1701" w:type="dxa"/>
            <w:tcBorders>
              <w:bottom w:val="single" w:sz="12" w:space="0" w:color="auto"/>
            </w:tcBorders>
            <w:vAlign w:val="center"/>
          </w:tcPr>
          <w:p w:rsidR="00F815E8" w:rsidRPr="00FD7FE2" w:rsidRDefault="00F815E8">
            <w:pPr>
              <w:ind w:firstLine="360"/>
              <w:rPr>
                <w:rFonts w:asciiTheme="minorEastAsia" w:eastAsia="宋体" w:hAnsiTheme="minorEastAsia" w:cs="Times New Roman"/>
                <w:bCs/>
                <w:kern w:val="0"/>
                <w:sz w:val="18"/>
                <w:szCs w:val="18"/>
              </w:rPr>
            </w:pPr>
            <w:r w:rsidRPr="00FD7FE2">
              <w:rPr>
                <w:rFonts w:asciiTheme="majorEastAsia" w:eastAsiaTheme="majorEastAsia" w:hAnsiTheme="majorEastAsia" w:cs="Times New Roman" w:hint="eastAsia"/>
                <w:bCs/>
                <w:sz w:val="18"/>
                <w:szCs w:val="18"/>
              </w:rPr>
              <w:t>赎回申请日当日</w:t>
            </w:r>
          </w:p>
        </w:tc>
        <w:tc>
          <w:tcPr>
            <w:tcW w:w="1984" w:type="dxa"/>
            <w:tcBorders>
              <w:bottom w:val="single" w:sz="12" w:space="0" w:color="auto"/>
            </w:tcBorders>
            <w:vAlign w:val="center"/>
          </w:tcPr>
          <w:p w:rsidR="00F815E8" w:rsidRPr="00FD7FE2" w:rsidRDefault="00F815E8">
            <w:pPr>
              <w:ind w:firstLine="360"/>
              <w:rPr>
                <w:rFonts w:asciiTheme="minorEastAsia" w:eastAsia="宋体" w:hAnsiTheme="minorEastAsia" w:cs="Times New Roman"/>
                <w:bCs/>
                <w:sz w:val="18"/>
                <w:szCs w:val="18"/>
              </w:rPr>
            </w:pPr>
            <w:r w:rsidRPr="00FD7FE2">
              <w:rPr>
                <w:rFonts w:asciiTheme="minorEastAsia" w:eastAsia="宋体" w:hAnsiTheme="minorEastAsia" w:cs="Times New Roman" w:hint="eastAsia"/>
                <w:bCs/>
                <w:kern w:val="0"/>
                <w:sz w:val="18"/>
                <w:szCs w:val="18"/>
              </w:rPr>
              <w:t>赎回日</w:t>
            </w:r>
            <w:r w:rsidRPr="00FD7FE2">
              <w:rPr>
                <w:rFonts w:asciiTheme="majorEastAsia" w:eastAsiaTheme="majorEastAsia" w:hAnsiTheme="majorEastAsia" w:cs="Times New Roman" w:hint="eastAsia"/>
                <w:bCs/>
                <w:sz w:val="18"/>
                <w:szCs w:val="18"/>
              </w:rPr>
              <w:t>后的下一个开放日</w:t>
            </w:r>
          </w:p>
        </w:tc>
        <w:tc>
          <w:tcPr>
            <w:tcW w:w="2043" w:type="dxa"/>
            <w:vMerge w:val="restart"/>
            <w:vAlign w:val="center"/>
          </w:tcPr>
          <w:p w:rsidR="00F815E8" w:rsidRPr="00FD7FE2" w:rsidRDefault="00F815E8">
            <w:pPr>
              <w:ind w:firstLine="360"/>
              <w:rPr>
                <w:rFonts w:asciiTheme="minorEastAsia" w:eastAsia="宋体" w:hAnsiTheme="minorEastAsia" w:cs="Times New Roman"/>
                <w:bCs/>
                <w:sz w:val="18"/>
                <w:szCs w:val="18"/>
              </w:rPr>
            </w:pPr>
            <w:r w:rsidRPr="00FD7FE2">
              <w:rPr>
                <w:rFonts w:asciiTheme="minorEastAsia" w:eastAsia="宋体" w:hAnsiTheme="minorEastAsia" w:cs="Times New Roman" w:hint="eastAsia"/>
                <w:bCs/>
                <w:kern w:val="0"/>
                <w:sz w:val="18"/>
                <w:szCs w:val="18"/>
              </w:rPr>
              <w:t>产品管理人在赎回</w:t>
            </w:r>
            <w:r w:rsidRPr="00FD7FE2">
              <w:rPr>
                <w:rFonts w:asciiTheme="minorEastAsia" w:eastAsia="宋体" w:hAnsiTheme="minorEastAsia" w:cs="Times New Roman"/>
                <w:bCs/>
                <w:kern w:val="0"/>
                <w:sz w:val="18"/>
                <w:szCs w:val="18"/>
              </w:rPr>
              <w:t>确认日</w:t>
            </w:r>
            <w:r w:rsidRPr="00FD7FE2">
              <w:rPr>
                <w:rFonts w:asciiTheme="minorEastAsia" w:eastAsia="宋体" w:hAnsiTheme="minorEastAsia" w:cs="Times New Roman" w:hint="eastAsia"/>
                <w:bCs/>
                <w:kern w:val="0"/>
                <w:sz w:val="18"/>
                <w:szCs w:val="18"/>
              </w:rPr>
              <w:t>对赎回申请的有效性进行确认，并注销理财份额。</w:t>
            </w:r>
          </w:p>
        </w:tc>
      </w:tr>
      <w:tr w:rsidR="00F815E8" w:rsidRPr="00FD7FE2">
        <w:trPr>
          <w:trHeight w:val="899"/>
          <w:jc w:val="center"/>
        </w:trPr>
        <w:tc>
          <w:tcPr>
            <w:tcW w:w="1833" w:type="dxa"/>
            <w:tcBorders>
              <w:top w:val="single" w:sz="12" w:space="0" w:color="auto"/>
              <w:bottom w:val="single" w:sz="12" w:space="0" w:color="auto"/>
            </w:tcBorders>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t>开放日内非交易时间：</w:t>
            </w:r>
            <w:r w:rsidRPr="00FD7FE2">
              <w:rPr>
                <w:rFonts w:asciiTheme="majorEastAsia" w:eastAsiaTheme="majorEastAsia" w:hAnsiTheme="majorEastAsia"/>
                <w:bCs/>
                <w:color w:val="auto"/>
                <w:sz w:val="18"/>
                <w:szCs w:val="18"/>
              </w:rPr>
              <w:t>【1</w:t>
            </w:r>
            <w:r w:rsidR="008A52E5" w:rsidRPr="00FD7FE2">
              <w:rPr>
                <w:rFonts w:asciiTheme="majorEastAsia" w:eastAsiaTheme="majorEastAsia" w:hAnsiTheme="majorEastAsia" w:hint="eastAsia"/>
                <w:bCs/>
                <w:color w:val="auto"/>
                <w:sz w:val="18"/>
                <w:szCs w:val="18"/>
              </w:rPr>
              <w:t>5</w:t>
            </w:r>
            <w:r w:rsidRPr="00FD7FE2">
              <w:rPr>
                <w:rFonts w:asciiTheme="majorEastAsia" w:eastAsiaTheme="majorEastAsia" w:hAnsiTheme="majorEastAsia" w:hint="eastAsia"/>
                <w:bCs/>
                <w:color w:val="auto"/>
                <w:sz w:val="18"/>
                <w:szCs w:val="18"/>
              </w:rPr>
              <w:t>：</w:t>
            </w:r>
            <w:r w:rsidRPr="00FD7FE2">
              <w:rPr>
                <w:rFonts w:asciiTheme="majorEastAsia" w:eastAsiaTheme="majorEastAsia" w:hAnsiTheme="majorEastAsia"/>
                <w:bCs/>
                <w:color w:val="auto"/>
                <w:sz w:val="18"/>
                <w:szCs w:val="18"/>
              </w:rPr>
              <w:t>00】-【24：00】</w:t>
            </w:r>
          </w:p>
        </w:tc>
        <w:tc>
          <w:tcPr>
            <w:tcW w:w="1701" w:type="dxa"/>
            <w:tcBorders>
              <w:top w:val="single" w:sz="12" w:space="0" w:color="auto"/>
              <w:bottom w:val="single" w:sz="12" w:space="0" w:color="auto"/>
            </w:tcBorders>
            <w:vAlign w:val="center"/>
          </w:tcPr>
          <w:p w:rsidR="00F815E8" w:rsidRPr="00FD7FE2" w:rsidRDefault="00F815E8">
            <w:pPr>
              <w:ind w:firstLine="360"/>
              <w:rPr>
                <w:rFonts w:asciiTheme="minorEastAsia" w:eastAsia="宋体" w:hAnsiTheme="minorEastAsia" w:cs="Times New Roman"/>
                <w:bCs/>
                <w:kern w:val="0"/>
                <w:sz w:val="18"/>
                <w:szCs w:val="18"/>
              </w:rPr>
            </w:pPr>
            <w:r w:rsidRPr="00FD7FE2">
              <w:rPr>
                <w:rFonts w:asciiTheme="majorEastAsia" w:eastAsiaTheme="majorEastAsia" w:hAnsiTheme="majorEastAsia" w:cs="Times New Roman" w:hint="eastAsia"/>
                <w:bCs/>
                <w:sz w:val="18"/>
                <w:szCs w:val="18"/>
              </w:rPr>
              <w:t>赎回申请日后的下一个开放日</w:t>
            </w:r>
          </w:p>
        </w:tc>
        <w:tc>
          <w:tcPr>
            <w:tcW w:w="1984" w:type="dxa"/>
            <w:tcBorders>
              <w:top w:val="single" w:sz="12" w:space="0" w:color="auto"/>
              <w:bottom w:val="single" w:sz="12" w:space="0" w:color="auto"/>
            </w:tcBorders>
            <w:vAlign w:val="center"/>
          </w:tcPr>
          <w:p w:rsidR="00F815E8" w:rsidRPr="00FD7FE2" w:rsidRDefault="00F815E8">
            <w:pPr>
              <w:ind w:firstLine="360"/>
              <w:rPr>
                <w:rFonts w:asciiTheme="minorEastAsia" w:eastAsia="宋体" w:hAnsiTheme="minorEastAsia" w:cs="Times New Roman"/>
                <w:bCs/>
                <w:kern w:val="0"/>
                <w:sz w:val="18"/>
                <w:szCs w:val="18"/>
              </w:rPr>
            </w:pPr>
            <w:r w:rsidRPr="00FD7FE2">
              <w:rPr>
                <w:rFonts w:asciiTheme="minorEastAsia" w:eastAsia="宋体" w:hAnsiTheme="minorEastAsia" w:cs="Times New Roman"/>
                <w:bCs/>
                <w:kern w:val="0"/>
                <w:sz w:val="18"/>
                <w:szCs w:val="18"/>
              </w:rPr>
              <w:t>赎回日</w:t>
            </w:r>
            <w:r w:rsidRPr="00FD7FE2">
              <w:rPr>
                <w:rFonts w:asciiTheme="majorEastAsia" w:eastAsiaTheme="majorEastAsia" w:hAnsiTheme="majorEastAsia" w:cs="Times New Roman" w:hint="eastAsia"/>
                <w:bCs/>
                <w:sz w:val="18"/>
                <w:szCs w:val="18"/>
              </w:rPr>
              <w:t>后的下一个开放日</w:t>
            </w:r>
          </w:p>
        </w:tc>
        <w:tc>
          <w:tcPr>
            <w:tcW w:w="2043" w:type="dxa"/>
            <w:vMerge/>
            <w:vAlign w:val="center"/>
          </w:tcPr>
          <w:p w:rsidR="00F815E8" w:rsidRPr="00FD7FE2" w:rsidRDefault="00F815E8">
            <w:pPr>
              <w:keepNext/>
              <w:keepLines/>
              <w:spacing w:before="260" w:after="260" w:line="416" w:lineRule="auto"/>
              <w:ind w:firstLine="360"/>
              <w:rPr>
                <w:rFonts w:asciiTheme="minorEastAsia" w:eastAsia="宋体" w:hAnsiTheme="minorEastAsia" w:cs="Times New Roman"/>
                <w:bCs/>
                <w:kern w:val="0"/>
                <w:sz w:val="18"/>
                <w:szCs w:val="18"/>
              </w:rPr>
            </w:pPr>
          </w:p>
        </w:tc>
      </w:tr>
      <w:tr w:rsidR="00F815E8" w:rsidRPr="00FD7FE2">
        <w:trPr>
          <w:trHeight w:val="899"/>
          <w:jc w:val="center"/>
        </w:trPr>
        <w:tc>
          <w:tcPr>
            <w:tcW w:w="1833" w:type="dxa"/>
            <w:tcBorders>
              <w:top w:val="single" w:sz="12" w:space="0" w:color="auto"/>
            </w:tcBorders>
            <w:vAlign w:val="center"/>
          </w:tcPr>
          <w:p w:rsidR="00F815E8" w:rsidRPr="00FD7FE2" w:rsidRDefault="00F815E8">
            <w:pPr>
              <w:pStyle w:val="Default"/>
              <w:ind w:firstLine="360"/>
              <w:jc w:val="left"/>
              <w:rPr>
                <w:rFonts w:asciiTheme="majorEastAsia" w:eastAsiaTheme="majorEastAsia" w:hAnsiTheme="majorEastAsia"/>
                <w:bCs/>
                <w:color w:val="auto"/>
                <w:sz w:val="18"/>
                <w:szCs w:val="18"/>
              </w:rPr>
            </w:pPr>
            <w:r w:rsidRPr="00FD7FE2">
              <w:rPr>
                <w:rFonts w:asciiTheme="majorEastAsia" w:eastAsiaTheme="majorEastAsia" w:hAnsiTheme="majorEastAsia" w:hint="eastAsia"/>
                <w:bCs/>
                <w:color w:val="auto"/>
                <w:sz w:val="18"/>
                <w:szCs w:val="18"/>
              </w:rPr>
              <w:lastRenderedPageBreak/>
              <w:t>非</w:t>
            </w:r>
            <w:r w:rsidRPr="00FD7FE2">
              <w:rPr>
                <w:rFonts w:asciiTheme="majorEastAsia" w:eastAsiaTheme="majorEastAsia" w:hAnsiTheme="majorEastAsia"/>
                <w:bCs/>
                <w:color w:val="auto"/>
                <w:sz w:val="18"/>
                <w:szCs w:val="18"/>
              </w:rPr>
              <w:t>开放</w:t>
            </w:r>
            <w:r w:rsidRPr="00FD7FE2">
              <w:rPr>
                <w:rFonts w:asciiTheme="majorEastAsia" w:eastAsiaTheme="majorEastAsia" w:hAnsiTheme="majorEastAsia" w:hint="eastAsia"/>
                <w:bCs/>
                <w:color w:val="auto"/>
                <w:sz w:val="18"/>
                <w:szCs w:val="18"/>
              </w:rPr>
              <w:t>日</w:t>
            </w:r>
          </w:p>
        </w:tc>
        <w:tc>
          <w:tcPr>
            <w:tcW w:w="1701" w:type="dxa"/>
            <w:tcBorders>
              <w:top w:val="single" w:sz="12" w:space="0" w:color="auto"/>
            </w:tcBorders>
            <w:vAlign w:val="center"/>
          </w:tcPr>
          <w:p w:rsidR="00F815E8" w:rsidRPr="00FD7FE2" w:rsidRDefault="00F815E8">
            <w:pPr>
              <w:ind w:firstLine="360"/>
              <w:rPr>
                <w:rFonts w:asciiTheme="minorEastAsia" w:eastAsia="宋体" w:hAnsiTheme="minorEastAsia" w:cs="Times New Roman"/>
                <w:bCs/>
                <w:kern w:val="0"/>
                <w:sz w:val="18"/>
                <w:szCs w:val="18"/>
              </w:rPr>
            </w:pPr>
            <w:r w:rsidRPr="00FD7FE2">
              <w:rPr>
                <w:rFonts w:asciiTheme="majorEastAsia" w:eastAsiaTheme="majorEastAsia" w:hAnsiTheme="majorEastAsia" w:cs="Times New Roman" w:hint="eastAsia"/>
                <w:bCs/>
                <w:sz w:val="18"/>
                <w:szCs w:val="18"/>
              </w:rPr>
              <w:t>赎回申请日后的下一个开放日</w:t>
            </w:r>
          </w:p>
        </w:tc>
        <w:tc>
          <w:tcPr>
            <w:tcW w:w="1984" w:type="dxa"/>
            <w:tcBorders>
              <w:top w:val="single" w:sz="12" w:space="0" w:color="auto"/>
            </w:tcBorders>
          </w:tcPr>
          <w:p w:rsidR="00F815E8" w:rsidRPr="00FD7FE2" w:rsidRDefault="00F815E8">
            <w:pPr>
              <w:ind w:firstLine="360"/>
              <w:rPr>
                <w:rFonts w:asciiTheme="minorEastAsia" w:eastAsia="宋体" w:hAnsiTheme="minorEastAsia" w:cs="Times New Roman"/>
                <w:bCs/>
                <w:kern w:val="0"/>
                <w:sz w:val="18"/>
                <w:szCs w:val="18"/>
              </w:rPr>
            </w:pPr>
            <w:r w:rsidRPr="00FD7FE2">
              <w:rPr>
                <w:rFonts w:asciiTheme="minorEastAsia" w:eastAsia="宋体" w:hAnsiTheme="minorEastAsia" w:cs="Times New Roman"/>
                <w:bCs/>
                <w:kern w:val="0"/>
                <w:sz w:val="18"/>
                <w:szCs w:val="18"/>
              </w:rPr>
              <w:t>赎回日</w:t>
            </w:r>
            <w:r w:rsidRPr="00FD7FE2">
              <w:rPr>
                <w:rFonts w:asciiTheme="majorEastAsia" w:eastAsiaTheme="majorEastAsia" w:hAnsiTheme="majorEastAsia" w:cs="Times New Roman" w:hint="eastAsia"/>
                <w:bCs/>
                <w:sz w:val="18"/>
                <w:szCs w:val="18"/>
              </w:rPr>
              <w:t>后的下一个开放日</w:t>
            </w:r>
          </w:p>
        </w:tc>
        <w:tc>
          <w:tcPr>
            <w:tcW w:w="2043" w:type="dxa"/>
            <w:vMerge/>
          </w:tcPr>
          <w:p w:rsidR="00F815E8" w:rsidRPr="00FD7FE2" w:rsidRDefault="00F815E8">
            <w:pPr>
              <w:keepNext/>
              <w:keepLines/>
              <w:spacing w:before="260" w:after="260" w:line="416" w:lineRule="auto"/>
              <w:ind w:firstLine="360"/>
              <w:rPr>
                <w:rFonts w:asciiTheme="minorEastAsia" w:eastAsia="宋体" w:hAnsiTheme="minorEastAsia" w:cs="Times New Roman"/>
                <w:bCs/>
                <w:kern w:val="0"/>
                <w:sz w:val="18"/>
                <w:szCs w:val="18"/>
              </w:rPr>
            </w:pPr>
          </w:p>
        </w:tc>
      </w:tr>
    </w:tbl>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注：赎回款项于赎回日后【1】个开放日内支付给投资者。</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4.申购/赎回申请时间如遇非工作日，则产品管理人做相应调整。</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★注：关于代理销售机构的实际工作服务时段的提示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①为本产品办理相关交易的实际工作服务时段，因代理销售机构的不同可能存在差异（可能晚于销售文件约定的起始时点开始或早于销售文件约定的终止时点结束），投资者应当以代理销售机构的展示为准。</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②代理销售机构的实际工作服务时段，最早不得早于销售文件约定的起始时点、最晚不得晚于销售文件约定的终止时点。”</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w:t>
      </w:r>
      <w:r w:rsidRPr="00FD7FE2">
        <w:rPr>
          <w:rFonts w:ascii="仿宋_GB2312" w:eastAsia="仿宋_GB2312" w:cs="宋体"/>
          <w:kern w:val="0"/>
          <w:szCs w:val="21"/>
        </w:rPr>
        <w:t>2</w:t>
      </w:r>
      <w:r w:rsidRPr="00FD7FE2">
        <w:rPr>
          <w:rFonts w:ascii="仿宋_GB2312" w:eastAsia="仿宋_GB2312" w:cs="宋体" w:hint="eastAsia"/>
          <w:kern w:val="0"/>
          <w:szCs w:val="21"/>
        </w:rPr>
        <w:t>）将原《产品说明书》中“二、理财</w:t>
      </w:r>
      <w:r w:rsidRPr="00FD7FE2">
        <w:rPr>
          <w:rFonts w:ascii="仿宋_GB2312" w:eastAsia="仿宋_GB2312" w:cs="宋体"/>
          <w:kern w:val="0"/>
          <w:szCs w:val="21"/>
        </w:rPr>
        <w:t>份额的申购与赎回</w:t>
      </w:r>
      <w:r w:rsidRPr="00FD7FE2">
        <w:rPr>
          <w:rFonts w:ascii="仿宋_GB2312" w:eastAsia="仿宋_GB2312" w:cs="宋体" w:hint="eastAsia"/>
          <w:kern w:val="0"/>
          <w:szCs w:val="21"/>
        </w:rPr>
        <w:t>”进行相应修改。</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hint="eastAsia"/>
          <w:b/>
          <w:bCs/>
          <w:kern w:val="0"/>
          <w:szCs w:val="21"/>
        </w:rPr>
        <w:t>2、理财产品申购赎回撤销的</w:t>
      </w:r>
      <w:r w:rsidRPr="00FD7FE2">
        <w:rPr>
          <w:rFonts w:ascii="仿宋_GB2312" w:eastAsia="仿宋_GB2312" w:cs="宋体"/>
          <w:b/>
          <w:bCs/>
          <w:kern w:val="0"/>
          <w:szCs w:val="21"/>
        </w:rPr>
        <w:t>变更</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将原《产品说明书》中“二、理财份额的申购与赎回”中“（三）申购与赎回的原则”进行修改。</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原条款为：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w:t>
      </w:r>
      <w:r w:rsidRPr="00FD7FE2">
        <w:rPr>
          <w:rFonts w:ascii="仿宋_GB2312" w:eastAsia="仿宋_GB2312" w:cs="宋体"/>
          <w:kern w:val="0"/>
          <w:szCs w:val="21"/>
        </w:rPr>
        <w:t>…</w:t>
      </w:r>
      <w:r w:rsidRPr="00FD7FE2">
        <w:rPr>
          <w:rFonts w:ascii="仿宋_GB2312" w:eastAsia="仿宋_GB2312" w:cs="宋体"/>
          <w:kern w:val="0"/>
          <w:szCs w:val="21"/>
        </w:rPr>
        <w:t>3.</w:t>
      </w:r>
      <w:r w:rsidRPr="00FD7FE2">
        <w:rPr>
          <w:rFonts w:ascii="仿宋_GB2312" w:eastAsia="仿宋_GB2312" w:cs="宋体" w:hint="eastAsia"/>
          <w:kern w:val="0"/>
          <w:szCs w:val="21"/>
        </w:rPr>
        <w:t>申购申请可以在对应开放日15:00前撤销，最终申购确认情况以客户在我行营业网点或电子银行渠道确认的结果为准。”</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现修改为：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w:t>
      </w:r>
      <w:r w:rsidRPr="00FD7FE2">
        <w:rPr>
          <w:rFonts w:ascii="仿宋_GB2312" w:eastAsia="仿宋_GB2312" w:cs="宋体"/>
          <w:kern w:val="0"/>
          <w:szCs w:val="21"/>
        </w:rPr>
        <w:t>…</w:t>
      </w:r>
      <w:r w:rsidRPr="00FD7FE2">
        <w:rPr>
          <w:rFonts w:ascii="仿宋_GB2312" w:eastAsia="仿宋_GB2312" w:cs="宋体" w:hint="eastAsia"/>
          <w:kern w:val="0"/>
          <w:szCs w:val="21"/>
        </w:rPr>
        <w:t>3.申购、赎回申请可以在对应开放</w:t>
      </w:r>
      <w:r w:rsidR="00F815E8" w:rsidRPr="00FD7FE2">
        <w:rPr>
          <w:rFonts w:ascii="仿宋_GB2312" w:eastAsia="仿宋_GB2312" w:cs="宋体" w:hint="eastAsia"/>
          <w:kern w:val="0"/>
          <w:szCs w:val="21"/>
        </w:rPr>
        <w:t>日【1</w:t>
      </w:r>
      <w:r w:rsidRPr="00FD7FE2">
        <w:rPr>
          <w:rFonts w:ascii="仿宋_GB2312" w:eastAsia="仿宋_GB2312" w:cs="宋体" w:hint="eastAsia"/>
          <w:kern w:val="0"/>
          <w:szCs w:val="21"/>
        </w:rPr>
        <w:t>5</w:t>
      </w:r>
      <w:r w:rsidR="00F815E8" w:rsidRPr="00FD7FE2">
        <w:rPr>
          <w:rFonts w:ascii="仿宋_GB2312" w:eastAsia="仿宋_GB2312" w:cs="宋体" w:hint="eastAsia"/>
          <w:kern w:val="0"/>
          <w:szCs w:val="21"/>
        </w:rPr>
        <w:t>:00】截</w:t>
      </w:r>
      <w:r w:rsidRPr="00FD7FE2">
        <w:rPr>
          <w:rFonts w:ascii="仿宋_GB2312" w:eastAsia="仿宋_GB2312" w:cs="宋体" w:hint="eastAsia"/>
          <w:kern w:val="0"/>
          <w:szCs w:val="21"/>
        </w:rPr>
        <w:t>止前撤销，最终申请确认情况以投资者在销售机构线下渠道或线上渠道确认的结果为准。”</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3、理财产品巨额赎回处理方式的变更</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将原《产品说明书》中“二、理财份额的申购与赎回”中“（九）巨额赎回的情形及处理方式”的“2、巨额赎回的处理方式”进行修改。</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原条款为：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“在巨额赎回发生后，巨额赎回规则如下：</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1）当日0:00-15:00单个客户累计赎回上限为5万份。</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lastRenderedPageBreak/>
        <w:t>2）客户申购申请不得撤销。</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兴业银行可不接受超出部分的净赎回申请，但客户可于下一开放日重新进行赎回申请。理财产品连续两个开放日（含）发生因巨额赎回导致拒绝赎回情况的，兴业银行可暂停接受客户的赎回申请。客户根据兴业银行披露的开放日可重新进行申购和赎回。”</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现修改为：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出现巨额赎回时，产品管理人有权决定：（1）申购申请不得撤销；（2）不接受超出部分的净赎回申请，但投资者可于下一开放日重新进行赎回申请；（3）延缓支付赎回款项。如产品管理人认为有必要，针对已经确认的赎回申请，可以延缓支付赎回款项。延缓支付赎回款项的，已经确认的赎回申请的相应赎回款项将会在不超过20个工作日内支付至投资者；（4）理财产品连续两个开放日（含）发生因巨额赎回导致拒绝赎回情况的，产品管理人可暂停接受投资者的赎回申请。投资者根据产品管理人披露的开放日可重新进行申购和赎回；（5）法律法规规定或监管机构规定的其他措施。”</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4</w:t>
      </w:r>
      <w:r w:rsidRPr="00FD7FE2">
        <w:rPr>
          <w:rFonts w:ascii="仿宋_GB2312" w:eastAsia="仿宋_GB2312" w:cs="宋体" w:hint="eastAsia"/>
          <w:b/>
          <w:bCs/>
          <w:kern w:val="0"/>
          <w:szCs w:val="21"/>
        </w:rPr>
        <w:t>、理财</w:t>
      </w:r>
      <w:r w:rsidRPr="00FD7FE2">
        <w:rPr>
          <w:rFonts w:ascii="仿宋_GB2312" w:eastAsia="仿宋_GB2312" w:cs="宋体"/>
          <w:b/>
          <w:bCs/>
          <w:kern w:val="0"/>
          <w:szCs w:val="21"/>
        </w:rPr>
        <w:t>产品费用的变更</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（1）原《产品说明书》中“一、</w:t>
      </w:r>
      <w:r w:rsidRPr="00FD7FE2">
        <w:rPr>
          <w:rFonts w:ascii="仿宋_GB2312" w:eastAsia="仿宋_GB2312"/>
        </w:rPr>
        <w:t>产品概述</w:t>
      </w:r>
      <w:r w:rsidRPr="00FD7FE2">
        <w:rPr>
          <w:rFonts w:ascii="仿宋_GB2312" w:eastAsia="仿宋_GB2312" w:hint="eastAsia"/>
        </w:rPr>
        <w:t>”中“理财产品费用”增加“强制赎回费”：</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w:t>
      </w:r>
      <w:r w:rsidRPr="00FD7FE2">
        <w:rPr>
          <w:rFonts w:ascii="仿宋_GB2312" w:eastAsia="仿宋_GB2312" w:cs="宋体"/>
          <w:kern w:val="0"/>
          <w:szCs w:val="21"/>
        </w:rPr>
        <w:t>.强制赎回费</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产品前10名投资者的持有份额合计超过产品总份额50%的，当投资组合中现金、国债、中央银行票据、政策性金融债券以及5个交易日内到期的其他金融工具占该产品资产净值的比例合计低于10%且偏离度为负时，产品管理人有权对投资者超过产品总份额1%以上的赎回申请征收1%的强制赎回费用。”</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（2）将原《产品说明书》中“七、理财费用和税收”进行相应修改。</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5</w:t>
      </w:r>
      <w:r w:rsidRPr="00FD7FE2">
        <w:rPr>
          <w:rFonts w:ascii="仿宋_GB2312" w:eastAsia="仿宋_GB2312" w:cs="宋体" w:hint="eastAsia"/>
          <w:b/>
          <w:bCs/>
          <w:kern w:val="0"/>
          <w:szCs w:val="21"/>
        </w:rPr>
        <w:t>、理财产品投资范围的变更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将原《产品说明书》中“三、理财产品的投资”中“（三）投资范围”进行修改。</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原条款为：</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“1、本产品100%投资于符合监管要求的固定收益类资产，主要投资范围包括但不限于：</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lastRenderedPageBreak/>
        <w:t>(1)银行存款、债券逆回购、货币基金等货币市场工具及其它银行间和交易所资金融通工具。</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存单、国债、政策性金融债、央行票据、短期融资券、超短期融资券、中期票据、企业债、公司债、非公开定向债务融资工具、资产支持证券、次级债等银行间、交易所市场债券及债务融资工具，其它固定收益类短期投资工具。</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(3)其他符合监管要求的债权类资产。</w:t>
      </w:r>
      <w:r w:rsidRPr="00FD7FE2">
        <w:rPr>
          <w:rFonts w:ascii="仿宋_GB2312" w:eastAsia="仿宋_GB2312" w:cs="宋体"/>
          <w:kern w:val="0"/>
          <w:szCs w:val="21"/>
        </w:rPr>
        <w:t>…</w:t>
      </w:r>
      <w:r w:rsidRPr="00FD7FE2">
        <w:rPr>
          <w:rFonts w:ascii="仿宋_GB2312" w:eastAsia="仿宋_GB2312" w:cs="宋体" w:hint="eastAsia"/>
          <w:kern w:val="0"/>
          <w:szCs w:val="21"/>
        </w:rPr>
        <w:t>”</w:t>
      </w:r>
    </w:p>
    <w:p w:rsidR="00F815E8" w:rsidRPr="00FD7FE2" w:rsidRDefault="00F815E8">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现修改为：</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“1.投资范围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本产品主要投资范围包括但不限于（实际可投资范围根据法律法规及监管规定进行调整）：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（1）现金；</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（2）期限在1年以内（含1年）的银行存款、债券回购、中央银行票据、同业存单；</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（3）剩余期限在397天以内（含397天）的债券、在银行间市场和证券交易所市场发行的资产支持证券；</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（4）银保监会、中国人民银行认可的其他具有良好流动性的货币市场工具。</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r w:rsidRPr="00FD7FE2">
        <w:rPr>
          <w:rFonts w:ascii="仿宋_GB2312" w:eastAsia="仿宋_GB2312" w:cs="宋体"/>
          <w:kern w:val="0"/>
          <w:szCs w:val="21"/>
        </w:rPr>
        <w:t>...</w:t>
      </w:r>
      <w:r w:rsidRPr="00FD7FE2">
        <w:rPr>
          <w:rFonts w:ascii="仿宋_GB2312" w:eastAsia="仿宋_GB2312" w:cs="宋体"/>
          <w:kern w:val="0"/>
          <w:szCs w:val="21"/>
        </w:rPr>
        <w:t>”</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6</w:t>
      </w:r>
      <w:r w:rsidRPr="00FD7FE2">
        <w:rPr>
          <w:rFonts w:ascii="仿宋_GB2312" w:eastAsia="仿宋_GB2312" w:cs="宋体" w:hint="eastAsia"/>
          <w:b/>
          <w:bCs/>
          <w:kern w:val="0"/>
          <w:szCs w:val="21"/>
        </w:rPr>
        <w:t>、增加理财</w:t>
      </w:r>
      <w:r w:rsidRPr="00FD7FE2">
        <w:rPr>
          <w:rFonts w:ascii="仿宋_GB2312" w:eastAsia="仿宋_GB2312" w:cs="宋体"/>
          <w:b/>
          <w:bCs/>
          <w:kern w:val="0"/>
          <w:szCs w:val="21"/>
        </w:rPr>
        <w:t>产品</w:t>
      </w:r>
      <w:r w:rsidRPr="00FD7FE2">
        <w:rPr>
          <w:rFonts w:ascii="仿宋_GB2312" w:eastAsia="仿宋_GB2312" w:cs="宋体" w:hint="eastAsia"/>
          <w:b/>
          <w:bCs/>
          <w:kern w:val="0"/>
          <w:szCs w:val="21"/>
        </w:rPr>
        <w:t>投资</w:t>
      </w:r>
      <w:r w:rsidRPr="00FD7FE2">
        <w:rPr>
          <w:rFonts w:ascii="仿宋_GB2312" w:eastAsia="仿宋_GB2312" w:cs="宋体"/>
          <w:b/>
          <w:bCs/>
          <w:kern w:val="0"/>
          <w:szCs w:val="21"/>
        </w:rPr>
        <w:t>限制</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在《产品说明书》中“三、理财产品的投资”中增加“（三）投资限制”。</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 xml:space="preserve"> “1.组合限制</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（1）本产品不得投资于以下金融工具：</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1）股票；</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2）可转换债券、可交换债券；</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3）以定期存款利率为基准利率的浮动利率债券，已进入最后一个利率调整期的除外；</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4）信用等级在AA+以下的债券、资产支持证券；</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5）银保监会、中国人民银行禁止投资的其他金融工具。</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lastRenderedPageBreak/>
        <w:t>（2）本产品投资于同一机构发行的债券及其作为原始权益人的资产支持证券的比例合计不得超过产品资产净值的10%，投资于国债、中央银行票据、政策性金融债券的除外。（3）本产品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银保监会认可的其他金融工具。</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本产品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（5）本产品管理人全部现金管理类理财产品投资于同一商业银行的存款、同业存单和债券，不得超过该商业银行最近一个季度末净资产的10%。</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（6）本产品投资于主体信用评级低于AA+的商业银行的银行存款与同业存单的，应当经产品管理人董事会审议批准，事先告知托管人，并作为重大事项履行信息披露程序。</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（7）本产品直接投资于流动性受限资产的市值在开放日不得超过该产品资产净值的15%。</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因证券市场波动、上市公司股票停牌、理财产品规模变动等因素导致理财产品不符合本款规定比例限制的，该理财产品不得主动新增投资流动性受限资产。</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8）开放式公募理财产品定期开放周期不低于90天的，在开放日及开放日前7个工作日内持有不低于该产品资产净值5%的现金或者到期日在一年以内的国债、中央银行票据和政策性金融债券。其他开放式公募理财产品均应当持续符合前款比例要求。（9）本产品每日确认且需当日支付的净赎回申请不超过前一工作日产品7个工作日可变现资产的可变现价值，银保监会另有规定的除外。在开放日前一工作日内，本 产品7个工作日可变现资产的可变现价值应当不低于该产品资产净值的10%。</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非主观因素导致突破前款各项比例限制的，产品管理人应当在10个交易日内调整至符合要求，银保监会规定的特殊情形除外。</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2.本产品持有足够的具有良好流动性的资产，投资组合符合以下要求：</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（1）本产品持有不低于产品资产净值5%的现金、国债、中央银行票据、政策性金融债券；</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（2）本产品持有不低于产品资产净值10%的现金、国债、中央银行票据、政策性金融债券以及五个交易日内到期的其他金融工具；</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lastRenderedPageBreak/>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（4）本产品的杠杆水平不得超过120%，发生巨额赎回、连续3个交易日累计赎回20%以上或者连续5个交易日累计赎回30%以上的情形除外。</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非主观因素导致突破前款第（2）（4）项比例限制的，产品管理人应当在10个交易日内调整至符合要求；非主观因素导致突破前款第（3）项比例限制的，产品管理人不得主动新增流动性受限资产的投资。</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3.产品投资组合的平均剩余期限不得超过120天，平均剩余存续期限不得超过240天。</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4.产品管理人对产品的投资者集中度实施严格的监控与管理，并根据投资者集中度情况对投资组合实施调整：</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rsidR="00F815E8" w:rsidRPr="00FD7FE2" w:rsidRDefault="008A52E5">
      <w:pPr>
        <w:widowControl/>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非因管理人主观因素导致突破前款第(1)(2)项比例限制的，管理人应当在10个交易日内调整至符合要求,银保监会规定的特殊情形除外。...”</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7</w:t>
      </w:r>
      <w:r w:rsidRPr="00FD7FE2">
        <w:rPr>
          <w:rFonts w:ascii="仿宋_GB2312" w:eastAsia="仿宋_GB2312" w:cs="宋体" w:hint="eastAsia"/>
          <w:b/>
          <w:bCs/>
          <w:kern w:val="0"/>
          <w:szCs w:val="21"/>
        </w:rPr>
        <w:t>、理财</w:t>
      </w:r>
      <w:r w:rsidRPr="00FD7FE2">
        <w:rPr>
          <w:rFonts w:ascii="仿宋_GB2312" w:eastAsia="仿宋_GB2312" w:cs="宋体"/>
          <w:b/>
          <w:bCs/>
          <w:kern w:val="0"/>
          <w:szCs w:val="21"/>
        </w:rPr>
        <w:t>产品资产</w:t>
      </w:r>
      <w:r w:rsidRPr="00FD7FE2">
        <w:rPr>
          <w:rFonts w:ascii="仿宋_GB2312" w:eastAsia="仿宋_GB2312" w:cs="宋体" w:hint="eastAsia"/>
          <w:b/>
          <w:bCs/>
          <w:kern w:val="0"/>
          <w:szCs w:val="21"/>
        </w:rPr>
        <w:t>的</w:t>
      </w:r>
      <w:r w:rsidRPr="00FD7FE2">
        <w:rPr>
          <w:rFonts w:ascii="仿宋_GB2312" w:eastAsia="仿宋_GB2312" w:cs="宋体"/>
          <w:b/>
          <w:bCs/>
          <w:kern w:val="0"/>
          <w:szCs w:val="21"/>
        </w:rPr>
        <w:t>估值的变更</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将原《产品说明书》中“五、</w:t>
      </w:r>
      <w:r w:rsidRPr="00FD7FE2">
        <w:rPr>
          <w:rFonts w:ascii="仿宋_GB2312" w:eastAsia="仿宋_GB2312" w:cs="宋体"/>
          <w:kern w:val="0"/>
          <w:szCs w:val="21"/>
        </w:rPr>
        <w:t>理财资产的估值</w:t>
      </w:r>
      <w:r w:rsidRPr="00FD7FE2">
        <w:rPr>
          <w:rFonts w:ascii="仿宋_GB2312" w:eastAsia="仿宋_GB2312" w:cs="宋体" w:hint="eastAsia"/>
          <w:kern w:val="0"/>
          <w:szCs w:val="21"/>
        </w:rPr>
        <w:t>”中“（四）估值</w:t>
      </w:r>
      <w:r w:rsidRPr="00FD7FE2">
        <w:rPr>
          <w:rFonts w:ascii="仿宋_GB2312" w:eastAsia="仿宋_GB2312" w:cs="宋体"/>
          <w:kern w:val="0"/>
          <w:szCs w:val="21"/>
        </w:rPr>
        <w:t>方法</w:t>
      </w:r>
      <w:r w:rsidRPr="00FD7FE2">
        <w:rPr>
          <w:rFonts w:ascii="仿宋_GB2312" w:eastAsia="仿宋_GB2312" w:cs="宋体" w:hint="eastAsia"/>
          <w:kern w:val="0"/>
          <w:szCs w:val="21"/>
        </w:rPr>
        <w:t>”进行修改。</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原条款为：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“...2.证券投资基金估值</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（1）非上市基金估值</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本产品投资的境内货币市场基金，按所投资基金前一估值日后至估值日期间（含节假日）的万份收益计提估值日基金收益。</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lastRenderedPageBreak/>
        <w:t>（2）上市基金估值</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5.为了避免采用“摊余成本法”计算的理财资产净值与按市场利率和交易市价计算的理财资产净值发生重大偏离，从而对理财份额持有人的利益产生稀释和不公平的结果，产品管理人于每一估值日，采用估值技术，对理财持有的估值对象进行重新评估，即“影子定价”。</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当“影子定价”确定的理财资产净值与“摊余成本法”计算的理财资产净值的偏离度的绝对值达到0.50%时，产品管理人应根据风险控制的需要，在5个交易日内将偏离度调整到0.5%以内；当偏离度绝对值达到1.0%时，产品管理人应暂停接受申购，并在5个交易日内将偏离度调整到1.0%以内。...”</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kern w:val="0"/>
          <w:szCs w:val="21"/>
        </w:rPr>
        <w:t>现</w:t>
      </w:r>
      <w:r w:rsidRPr="00FD7FE2">
        <w:rPr>
          <w:rFonts w:ascii="仿宋_GB2312" w:eastAsia="仿宋_GB2312" w:cs="宋体" w:hint="eastAsia"/>
          <w:kern w:val="0"/>
          <w:szCs w:val="21"/>
        </w:rPr>
        <w:t>修改为：</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 货币市场基金估值</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本产品投资的货币市场基金，按基金公司公布的估值日前一交易日的万份收益计提估值日基金收益。</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5.为了避免采用“摊余成本法”计算的理财资产净值与按市场利率和交易市价计算的理财资产净值发生重大偏离，从而对理财份额持有人的利益产生稀释和不公平的结果，产品管理人于每一估值日，采用估值技术，对理财持有的估值对象进行重新评估，即“影子定价”。</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当影子定价确定的资产净值与摊余成本法计算的资产净值正偏离度绝对值达到0.5%时，管理人将暂停接受认/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8</w:t>
      </w:r>
      <w:r w:rsidRPr="00FD7FE2">
        <w:rPr>
          <w:rFonts w:ascii="仿宋_GB2312" w:eastAsia="仿宋_GB2312" w:cs="宋体" w:hint="eastAsia"/>
          <w:b/>
          <w:bCs/>
          <w:kern w:val="0"/>
          <w:szCs w:val="21"/>
        </w:rPr>
        <w:t>、理财产品信息披露的变更</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（1）原《产品说明书》中“九、</w:t>
      </w:r>
      <w:r w:rsidRPr="00FD7FE2">
        <w:rPr>
          <w:rFonts w:ascii="仿宋_GB2312" w:eastAsia="仿宋_GB2312"/>
        </w:rPr>
        <w:t>信息披露</w:t>
      </w:r>
      <w:r w:rsidRPr="00FD7FE2">
        <w:rPr>
          <w:rFonts w:ascii="仿宋_GB2312" w:eastAsia="仿宋_GB2312" w:hint="eastAsia"/>
        </w:rPr>
        <w:t>”中“（三）信息披露的内容”增加：</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lastRenderedPageBreak/>
        <w:t>“前10名投资者类别和持有份额及占总份额比例”；</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（2）原《产品说明书》中“九、</w:t>
      </w:r>
      <w:r w:rsidRPr="00FD7FE2">
        <w:rPr>
          <w:rFonts w:ascii="仿宋_GB2312" w:eastAsia="仿宋_GB2312"/>
        </w:rPr>
        <w:t>信息披露</w:t>
      </w:r>
      <w:r w:rsidRPr="00FD7FE2">
        <w:rPr>
          <w:rFonts w:ascii="仿宋_GB2312" w:eastAsia="仿宋_GB2312" w:hint="eastAsia"/>
        </w:rPr>
        <w:t>”中“（四）信息披露的频率和时间”中“定期报告”增加：</w:t>
      </w:r>
    </w:p>
    <w:p w:rsidR="00F815E8" w:rsidRPr="00FD7FE2" w:rsidRDefault="008A52E5">
      <w:pPr>
        <w:spacing w:line="360" w:lineRule="auto"/>
        <w:ind w:firstLineChars="200" w:firstLine="420"/>
        <w:jc w:val="left"/>
        <w:rPr>
          <w:rFonts w:ascii="仿宋_GB2312" w:eastAsia="仿宋_GB2312"/>
        </w:rPr>
      </w:pPr>
      <w:r w:rsidRPr="00FD7FE2">
        <w:rPr>
          <w:rFonts w:ascii="仿宋_GB2312" w:eastAsia="仿宋_GB2312" w:hint="eastAsia"/>
        </w:rPr>
        <w:t>“产品存续期间如出现单一投资者持有产品份额达到或者超过产品总份额20%的情形,为保障其他投资者的权益，管理人将在定期报告中披露该投资者的类别、持有份额及占比、持有份额变化情况及产品风险等信息，银保监会认定的特殊情形除外。”</w:t>
      </w:r>
    </w:p>
    <w:p w:rsidR="00F815E8" w:rsidRPr="00FD7FE2" w:rsidRDefault="008A52E5">
      <w:pPr>
        <w:spacing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9</w:t>
      </w:r>
      <w:r w:rsidRPr="00FD7FE2">
        <w:rPr>
          <w:rFonts w:ascii="仿宋_GB2312" w:eastAsia="仿宋_GB2312" w:cs="宋体" w:hint="eastAsia"/>
          <w:b/>
          <w:bCs/>
          <w:kern w:val="0"/>
          <w:szCs w:val="21"/>
        </w:rPr>
        <w:t>、理财产品管理人变更条款</w:t>
      </w:r>
    </w:p>
    <w:p w:rsidR="00F815E8" w:rsidRPr="00FD7FE2" w:rsidRDefault="008A52E5">
      <w:pPr>
        <w:spacing w:line="360" w:lineRule="auto"/>
        <w:ind w:firstLineChars="200" w:firstLine="420"/>
        <w:jc w:val="left"/>
        <w:rPr>
          <w:rFonts w:ascii="仿宋_GB2312" w:eastAsia="仿宋_GB2312" w:cs="宋体"/>
          <w:bCs/>
          <w:kern w:val="0"/>
          <w:szCs w:val="21"/>
        </w:rPr>
      </w:pPr>
      <w:r w:rsidRPr="00FD7FE2">
        <w:rPr>
          <w:rFonts w:ascii="仿宋_GB2312" w:eastAsia="仿宋_GB2312" w:cs="宋体" w:hint="eastAsia"/>
          <w:bCs/>
          <w:kern w:val="0"/>
          <w:szCs w:val="21"/>
        </w:rPr>
        <w:t>增加关于理财产品管理人变更的条款及相应风险提示。</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bCs/>
          <w:kern w:val="0"/>
          <w:szCs w:val="21"/>
        </w:rPr>
      </w:pPr>
      <w:r w:rsidRPr="00FD7FE2">
        <w:rPr>
          <w:rFonts w:ascii="仿宋_GB2312" w:eastAsia="仿宋_GB2312" w:cs="宋体"/>
          <w:b/>
          <w:bCs/>
          <w:kern w:val="0"/>
          <w:szCs w:val="21"/>
        </w:rPr>
        <w:t>10</w:t>
      </w:r>
      <w:r w:rsidRPr="00FD7FE2">
        <w:rPr>
          <w:rFonts w:ascii="仿宋_GB2312" w:eastAsia="仿宋_GB2312" w:cs="宋体" w:hint="eastAsia"/>
          <w:b/>
          <w:bCs/>
          <w:kern w:val="0"/>
          <w:szCs w:val="21"/>
        </w:rPr>
        <w:t>、理财产品销售文件其他条款变更</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对原销售文件的格式化条款的</w:t>
      </w:r>
      <w:r w:rsidRPr="00FD7FE2">
        <w:rPr>
          <w:rFonts w:ascii="仿宋_GB2312" w:eastAsia="仿宋_GB2312" w:cs="宋体"/>
          <w:kern w:val="0"/>
          <w:szCs w:val="21"/>
        </w:rPr>
        <w:t>表述、</w:t>
      </w:r>
      <w:r w:rsidRPr="00FD7FE2">
        <w:rPr>
          <w:rFonts w:ascii="仿宋_GB2312" w:eastAsia="仿宋_GB2312" w:cs="宋体" w:hint="eastAsia"/>
          <w:kern w:val="0"/>
          <w:szCs w:val="21"/>
        </w:rPr>
        <w:t>文本的格式进行变更，例如：释义、</w:t>
      </w:r>
      <w:r w:rsidRPr="00FD7FE2">
        <w:rPr>
          <w:rFonts w:ascii="仿宋_GB2312" w:eastAsia="仿宋_GB2312" w:cs="宋体"/>
          <w:kern w:val="0"/>
          <w:szCs w:val="21"/>
        </w:rPr>
        <w:t>销售场景、销售机构</w:t>
      </w:r>
      <w:r w:rsidRPr="00FD7FE2">
        <w:rPr>
          <w:rFonts w:ascii="仿宋_GB2312" w:eastAsia="仿宋_GB2312" w:cs="宋体" w:hint="eastAsia"/>
          <w:kern w:val="0"/>
          <w:szCs w:val="21"/>
        </w:rPr>
        <w:t>、认购</w:t>
      </w:r>
      <w:r w:rsidRPr="00FD7FE2">
        <w:rPr>
          <w:rFonts w:ascii="仿宋_GB2312" w:eastAsia="仿宋_GB2312" w:cs="宋体"/>
          <w:kern w:val="0"/>
          <w:szCs w:val="21"/>
        </w:rPr>
        <w:t>申购赎回</w:t>
      </w:r>
      <w:r w:rsidRPr="00FD7FE2">
        <w:rPr>
          <w:rFonts w:ascii="仿宋_GB2312" w:eastAsia="仿宋_GB2312" w:cs="宋体" w:hint="eastAsia"/>
          <w:kern w:val="0"/>
          <w:szCs w:val="21"/>
        </w:rPr>
        <w:t>、估值、</w:t>
      </w:r>
      <w:r w:rsidRPr="00FD7FE2">
        <w:rPr>
          <w:rFonts w:ascii="仿宋_GB2312" w:eastAsia="仿宋_GB2312" w:cs="宋体"/>
          <w:kern w:val="0"/>
          <w:szCs w:val="21"/>
        </w:rPr>
        <w:t>信息披露</w:t>
      </w:r>
      <w:r w:rsidRPr="00FD7FE2">
        <w:rPr>
          <w:rFonts w:ascii="仿宋_GB2312" w:eastAsia="仿宋_GB2312" w:cs="宋体" w:hint="eastAsia"/>
          <w:kern w:val="0"/>
          <w:szCs w:val="21"/>
        </w:rPr>
        <w:t>等内容。此部分内容的调整，主要为了实现与其他同类型产品结构的理财产品销售文件实现条款表述上的统一。</w:t>
      </w:r>
    </w:p>
    <w:p w:rsidR="00F815E8" w:rsidRPr="00FD7FE2" w:rsidRDefault="00F815E8">
      <w:pPr>
        <w:spacing w:line="360" w:lineRule="auto"/>
        <w:ind w:firstLine="422"/>
        <w:rPr>
          <w:rFonts w:ascii="仿宋_GB2312" w:eastAsia="仿宋_GB2312"/>
          <w:b/>
        </w:rPr>
      </w:pPr>
      <w:r w:rsidRPr="00FD7FE2">
        <w:rPr>
          <w:rFonts w:ascii="仿宋_GB2312" w:eastAsia="仿宋_GB2312"/>
          <w:b/>
        </w:rPr>
        <w:t>11</w:t>
      </w:r>
      <w:r w:rsidRPr="00FD7FE2">
        <w:rPr>
          <w:rFonts w:ascii="仿宋_GB2312" w:eastAsia="仿宋_GB2312" w:hint="eastAsia"/>
          <w:b/>
        </w:rPr>
        <w:t>、理财产品申购赎回安排的临时调整</w:t>
      </w:r>
    </w:p>
    <w:p w:rsidR="00F815E8" w:rsidRPr="00FD7FE2" w:rsidRDefault="00F815E8">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自</w:t>
      </w:r>
      <w:r w:rsidRPr="00FD7FE2">
        <w:rPr>
          <w:rFonts w:ascii="仿宋_GB2312" w:eastAsia="仿宋_GB2312" w:hAnsi="仿宋" w:cs="仿宋" w:hint="eastAsia"/>
          <w:kern w:val="0"/>
          <w:szCs w:val="21"/>
        </w:rPr>
        <w:t>【</w:t>
      </w:r>
      <w:r w:rsidRPr="00FD7FE2">
        <w:rPr>
          <w:rFonts w:ascii="仿宋_GB2312" w:eastAsia="仿宋_GB2312" w:hAnsi="仿宋" w:cs="仿宋"/>
          <w:kern w:val="0"/>
          <w:szCs w:val="21"/>
        </w:rPr>
        <w:t>2022】年【11</w:t>
      </w:r>
      <w:r w:rsidRPr="00FD7FE2">
        <w:rPr>
          <w:rFonts w:ascii="仿宋_GB2312" w:eastAsia="仿宋_GB2312" w:hAnsi="仿宋" w:cs="仿宋" w:hint="eastAsia"/>
          <w:kern w:val="0"/>
          <w:szCs w:val="21"/>
        </w:rPr>
        <w:t>】月【</w:t>
      </w:r>
      <w:r w:rsidRPr="00FD7FE2">
        <w:rPr>
          <w:rFonts w:ascii="仿宋_GB2312" w:eastAsia="仿宋_GB2312" w:hAnsi="仿宋" w:cs="仿宋"/>
          <w:kern w:val="0"/>
          <w:szCs w:val="21"/>
        </w:rPr>
        <w:t>22</w:t>
      </w:r>
      <w:r w:rsidRPr="00FD7FE2">
        <w:rPr>
          <w:rFonts w:ascii="仿宋_GB2312" w:eastAsia="仿宋_GB2312" w:hAnsi="仿宋" w:cs="仿宋" w:hint="eastAsia"/>
          <w:kern w:val="0"/>
          <w:szCs w:val="21"/>
        </w:rPr>
        <w:t>】日【</w:t>
      </w:r>
      <w:r w:rsidRPr="00FD7FE2">
        <w:rPr>
          <w:rFonts w:ascii="仿宋_GB2312" w:eastAsia="仿宋_GB2312" w:hAnsi="仿宋" w:cs="仿宋"/>
          <w:kern w:val="0"/>
          <w:szCs w:val="21"/>
        </w:rPr>
        <w:t>15:00】</w:t>
      </w:r>
      <w:r w:rsidRPr="00FD7FE2">
        <w:rPr>
          <w:rFonts w:ascii="仿宋_GB2312" w:eastAsia="仿宋_GB2312" w:hAnsi="仿宋" w:cs="仿宋" w:hint="eastAsia"/>
          <w:kern w:val="0"/>
          <w:szCs w:val="21"/>
        </w:rPr>
        <w:t>起，</w:t>
      </w:r>
      <w:r w:rsidR="000E726F">
        <w:rPr>
          <w:rFonts w:ascii="仿宋_GB2312" w:eastAsia="仿宋_GB2312" w:cs="宋体" w:hint="eastAsia"/>
          <w:kern w:val="0"/>
          <w:szCs w:val="21"/>
        </w:rPr>
        <w:t>暂停理财产品的申购；自</w:t>
      </w:r>
      <w:r w:rsidRPr="00FD7FE2">
        <w:rPr>
          <w:rFonts w:ascii="仿宋_GB2312" w:eastAsia="仿宋_GB2312" w:hAnsi="仿宋" w:cs="仿宋" w:hint="eastAsia"/>
          <w:kern w:val="0"/>
          <w:szCs w:val="21"/>
        </w:rPr>
        <w:t>【</w:t>
      </w:r>
      <w:r w:rsidRPr="00FD7FE2">
        <w:rPr>
          <w:rFonts w:ascii="仿宋_GB2312" w:eastAsia="仿宋_GB2312" w:hAnsi="仿宋" w:cs="仿宋"/>
          <w:kern w:val="0"/>
          <w:szCs w:val="21"/>
        </w:rPr>
        <w:t>2022】年【11</w:t>
      </w:r>
      <w:r w:rsidRPr="00FD7FE2">
        <w:rPr>
          <w:rFonts w:ascii="仿宋_GB2312" w:eastAsia="仿宋_GB2312" w:hAnsi="仿宋" w:cs="仿宋" w:hint="eastAsia"/>
          <w:kern w:val="0"/>
          <w:szCs w:val="21"/>
        </w:rPr>
        <w:t>】月【</w:t>
      </w:r>
      <w:r w:rsidRPr="00FD7FE2">
        <w:rPr>
          <w:rFonts w:ascii="仿宋_GB2312" w:eastAsia="仿宋_GB2312" w:hAnsi="仿宋" w:cs="仿宋"/>
          <w:kern w:val="0"/>
          <w:szCs w:val="21"/>
        </w:rPr>
        <w:t>24</w:t>
      </w:r>
      <w:r w:rsidRPr="00FD7FE2">
        <w:rPr>
          <w:rFonts w:ascii="仿宋_GB2312" w:eastAsia="仿宋_GB2312" w:hAnsi="仿宋" w:cs="仿宋" w:hint="eastAsia"/>
          <w:kern w:val="0"/>
          <w:szCs w:val="21"/>
        </w:rPr>
        <w:t>】日【</w:t>
      </w:r>
      <w:r w:rsidRPr="00FD7FE2">
        <w:rPr>
          <w:rFonts w:ascii="仿宋_GB2312" w:eastAsia="仿宋_GB2312" w:hAnsi="仿宋" w:cs="仿宋"/>
          <w:kern w:val="0"/>
          <w:szCs w:val="21"/>
        </w:rPr>
        <w:t>15:00】</w:t>
      </w:r>
      <w:r w:rsidR="000E726F">
        <w:rPr>
          <w:rFonts w:ascii="仿宋_GB2312" w:eastAsia="仿宋_GB2312" w:hAnsi="仿宋" w:cs="仿宋" w:hint="eastAsia"/>
          <w:kern w:val="0"/>
          <w:szCs w:val="21"/>
        </w:rPr>
        <w:t>至</w:t>
      </w:r>
      <w:r w:rsidR="000E726F" w:rsidRPr="00FD7FE2">
        <w:rPr>
          <w:rFonts w:ascii="仿宋_GB2312" w:eastAsia="仿宋_GB2312" w:hAnsi="仿宋" w:cs="仿宋" w:hint="eastAsia"/>
          <w:kern w:val="0"/>
          <w:szCs w:val="21"/>
        </w:rPr>
        <w:t>【</w:t>
      </w:r>
      <w:r w:rsidR="000E726F" w:rsidRPr="00FD7FE2">
        <w:rPr>
          <w:rFonts w:ascii="仿宋_GB2312" w:eastAsia="仿宋_GB2312" w:hAnsi="仿宋" w:cs="仿宋"/>
          <w:kern w:val="0"/>
          <w:szCs w:val="21"/>
        </w:rPr>
        <w:t>2022】年【11</w:t>
      </w:r>
      <w:r w:rsidR="000E726F" w:rsidRPr="00FD7FE2">
        <w:rPr>
          <w:rFonts w:ascii="仿宋_GB2312" w:eastAsia="仿宋_GB2312" w:hAnsi="仿宋" w:cs="仿宋" w:hint="eastAsia"/>
          <w:kern w:val="0"/>
          <w:szCs w:val="21"/>
        </w:rPr>
        <w:t>】月【</w:t>
      </w:r>
      <w:r w:rsidR="000E726F">
        <w:rPr>
          <w:rFonts w:ascii="仿宋_GB2312" w:eastAsia="仿宋_GB2312" w:hAnsi="仿宋" w:cs="仿宋"/>
          <w:kern w:val="0"/>
          <w:szCs w:val="21"/>
        </w:rPr>
        <w:t>2</w:t>
      </w:r>
      <w:r w:rsidR="000E726F">
        <w:rPr>
          <w:rFonts w:ascii="仿宋_GB2312" w:eastAsia="仿宋_GB2312" w:hAnsi="仿宋" w:cs="仿宋" w:hint="eastAsia"/>
          <w:kern w:val="0"/>
          <w:szCs w:val="21"/>
        </w:rPr>
        <w:t>6</w:t>
      </w:r>
      <w:r w:rsidR="000E726F" w:rsidRPr="00FD7FE2">
        <w:rPr>
          <w:rFonts w:ascii="仿宋_GB2312" w:eastAsia="仿宋_GB2312" w:hAnsi="仿宋" w:cs="仿宋" w:hint="eastAsia"/>
          <w:kern w:val="0"/>
          <w:szCs w:val="21"/>
        </w:rPr>
        <w:t>】日【</w:t>
      </w:r>
      <w:r w:rsidR="000E726F">
        <w:rPr>
          <w:rFonts w:ascii="仿宋_GB2312" w:eastAsia="仿宋_GB2312" w:hAnsi="仿宋" w:cs="仿宋" w:hint="eastAsia"/>
          <w:kern w:val="0"/>
          <w:szCs w:val="21"/>
        </w:rPr>
        <w:t>9</w:t>
      </w:r>
      <w:r w:rsidR="000E726F" w:rsidRPr="00FD7FE2">
        <w:rPr>
          <w:rFonts w:ascii="仿宋_GB2312" w:eastAsia="仿宋_GB2312" w:hAnsi="仿宋" w:cs="仿宋"/>
          <w:kern w:val="0"/>
          <w:szCs w:val="21"/>
        </w:rPr>
        <w:t>:00】</w:t>
      </w:r>
      <w:r w:rsidRPr="00FD7FE2">
        <w:rPr>
          <w:rFonts w:ascii="仿宋_GB2312" w:eastAsia="仿宋_GB2312" w:hAnsi="仿宋" w:cs="仿宋" w:hint="eastAsia"/>
          <w:kern w:val="0"/>
          <w:szCs w:val="21"/>
        </w:rPr>
        <w:t>起</w:t>
      </w:r>
      <w:r w:rsidRPr="00FD7FE2">
        <w:rPr>
          <w:rFonts w:ascii="仿宋_GB2312" w:eastAsia="仿宋_GB2312" w:cs="宋体" w:hint="eastAsia"/>
          <w:kern w:val="0"/>
          <w:szCs w:val="21"/>
        </w:rPr>
        <w:t>，理财产品的申购和赎回均暂停；</w:t>
      </w:r>
    </w:p>
    <w:p w:rsidR="00F815E8" w:rsidRPr="00FD7FE2" w:rsidRDefault="00F815E8">
      <w:pPr>
        <w:spacing w:line="360" w:lineRule="auto"/>
        <w:ind w:firstLineChars="200" w:firstLine="420"/>
        <w:rPr>
          <w:rFonts w:ascii="仿宋_GB2312" w:eastAsia="仿宋_GB2312"/>
        </w:rPr>
      </w:pPr>
      <w:r w:rsidRPr="00FD7FE2">
        <w:rPr>
          <w:rFonts w:ascii="仿宋_GB2312" w:eastAsia="仿宋_GB2312" w:hint="eastAsia"/>
        </w:rPr>
        <w:t>自</w:t>
      </w:r>
      <w:r w:rsidRPr="00FD7FE2">
        <w:rPr>
          <w:rFonts w:ascii="仿宋_GB2312" w:eastAsia="仿宋_GB2312" w:hAnsi="仿宋" w:cs="仿宋" w:hint="eastAsia"/>
          <w:kern w:val="0"/>
          <w:szCs w:val="21"/>
        </w:rPr>
        <w:t>【</w:t>
      </w:r>
      <w:r w:rsidRPr="00FD7FE2">
        <w:rPr>
          <w:rFonts w:ascii="仿宋_GB2312" w:eastAsia="仿宋_GB2312" w:hAnsi="仿宋" w:cs="仿宋"/>
          <w:kern w:val="0"/>
          <w:szCs w:val="21"/>
        </w:rPr>
        <w:t>2022】年【11</w:t>
      </w:r>
      <w:r w:rsidRPr="00FD7FE2">
        <w:rPr>
          <w:rFonts w:ascii="仿宋_GB2312" w:eastAsia="仿宋_GB2312" w:hAnsi="仿宋" w:cs="仿宋" w:hint="eastAsia"/>
          <w:kern w:val="0"/>
          <w:szCs w:val="21"/>
        </w:rPr>
        <w:t>】月【</w:t>
      </w:r>
      <w:r w:rsidR="000E726F">
        <w:rPr>
          <w:rFonts w:ascii="仿宋_GB2312" w:eastAsia="仿宋_GB2312" w:hAnsi="仿宋" w:cs="仿宋"/>
          <w:kern w:val="0"/>
          <w:szCs w:val="21"/>
        </w:rPr>
        <w:t>2</w:t>
      </w:r>
      <w:r w:rsidR="000E726F">
        <w:rPr>
          <w:rFonts w:ascii="仿宋_GB2312" w:eastAsia="仿宋_GB2312" w:hAnsi="仿宋" w:cs="仿宋" w:hint="eastAsia"/>
          <w:kern w:val="0"/>
          <w:szCs w:val="21"/>
        </w:rPr>
        <w:t>6</w:t>
      </w:r>
      <w:r w:rsidRPr="00FD7FE2">
        <w:rPr>
          <w:rFonts w:ascii="仿宋_GB2312" w:eastAsia="仿宋_GB2312" w:hAnsi="仿宋" w:cs="仿宋" w:hint="eastAsia"/>
          <w:kern w:val="0"/>
          <w:szCs w:val="21"/>
        </w:rPr>
        <w:t>】日【</w:t>
      </w:r>
      <w:r w:rsidRPr="00FD7FE2">
        <w:rPr>
          <w:rFonts w:ascii="仿宋_GB2312" w:eastAsia="仿宋_GB2312" w:hAnsi="仿宋" w:cs="仿宋"/>
          <w:kern w:val="0"/>
          <w:szCs w:val="21"/>
        </w:rPr>
        <w:t>9:00】</w:t>
      </w:r>
      <w:r w:rsidRPr="00FD7FE2">
        <w:rPr>
          <w:rFonts w:ascii="仿宋_GB2312" w:eastAsia="仿宋_GB2312" w:hint="eastAsia"/>
        </w:rPr>
        <w:t>起，恢复理财产品的申购和赎回。</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三、理财产品销售文件变更的生效</w:t>
      </w:r>
    </w:p>
    <w:p w:rsidR="00F815E8" w:rsidRPr="00FD7FE2" w:rsidRDefault="008A52E5">
      <w:pPr>
        <w:autoSpaceDE w:val="0"/>
        <w:autoSpaceDN w:val="0"/>
        <w:adjustRightInd w:val="0"/>
        <w:spacing w:before="120" w:after="120" w:line="360" w:lineRule="auto"/>
        <w:ind w:firstLineChars="200" w:firstLine="422"/>
        <w:jc w:val="left"/>
        <w:rPr>
          <w:rFonts w:ascii="仿宋_GB2312" w:eastAsia="仿宋_GB2312" w:cs="宋体"/>
          <w:b/>
          <w:kern w:val="0"/>
          <w:szCs w:val="21"/>
        </w:rPr>
      </w:pPr>
      <w:r w:rsidRPr="00FD7FE2">
        <w:rPr>
          <w:rFonts w:ascii="仿宋_GB2312" w:eastAsia="仿宋_GB2312" w:cs="宋体" w:hint="eastAsia"/>
          <w:b/>
          <w:kern w:val="0"/>
          <w:szCs w:val="21"/>
        </w:rPr>
        <w:t>（一）变更条款的生效</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hint="eastAsia"/>
          <w:color w:val="000000"/>
          <w:szCs w:val="21"/>
        </w:rPr>
        <w:t>1、本次销售文件变更事项已依据理财产品销售文件约定履行规定程序及相应信息披露义务，符合相关法律法规的规定。</w:t>
      </w:r>
      <w:r w:rsidRPr="00FD7FE2">
        <w:rPr>
          <w:rFonts w:ascii="仿宋_GB2312" w:eastAsia="仿宋_GB2312" w:hAnsi="仿宋" w:cs="仿宋" w:hint="eastAsia"/>
          <w:kern w:val="0"/>
          <w:szCs w:val="21"/>
        </w:rPr>
        <w:t>修订后的理财产品销售文件变更条款生效日为：【2022】年【</w:t>
      </w:r>
      <w:r w:rsidRPr="00FD7FE2">
        <w:rPr>
          <w:rFonts w:ascii="仿宋_GB2312" w:eastAsia="仿宋_GB2312" w:hAnsi="仿宋" w:cs="仿宋"/>
          <w:kern w:val="0"/>
          <w:szCs w:val="21"/>
        </w:rPr>
        <w:t>11</w:t>
      </w:r>
      <w:r w:rsidRPr="00FD7FE2">
        <w:rPr>
          <w:rFonts w:ascii="仿宋_GB2312" w:eastAsia="仿宋_GB2312" w:hAnsi="仿宋" w:cs="仿宋" w:hint="eastAsia"/>
          <w:kern w:val="0"/>
          <w:szCs w:val="21"/>
        </w:rPr>
        <w:t>】月【</w:t>
      </w:r>
      <w:r w:rsidRPr="00FD7FE2">
        <w:rPr>
          <w:rFonts w:ascii="仿宋_GB2312" w:eastAsia="仿宋_GB2312" w:hAnsi="仿宋" w:cs="仿宋"/>
          <w:kern w:val="0"/>
          <w:szCs w:val="21"/>
        </w:rPr>
        <w:t>25</w:t>
      </w:r>
      <w:r w:rsidRPr="00FD7FE2">
        <w:rPr>
          <w:rFonts w:ascii="仿宋_GB2312" w:eastAsia="仿宋_GB2312" w:hAnsi="仿宋" w:cs="仿宋" w:hint="eastAsia"/>
          <w:kern w:val="0"/>
          <w:szCs w:val="21"/>
        </w:rPr>
        <w:t>】日。</w:t>
      </w:r>
    </w:p>
    <w:p w:rsidR="00F815E8" w:rsidRPr="00FD7FE2" w:rsidRDefault="008A52E5">
      <w:pPr>
        <w:autoSpaceDE w:val="0"/>
        <w:autoSpaceDN w:val="0"/>
        <w:adjustRightInd w:val="0"/>
        <w:spacing w:before="120" w:after="120" w:line="360" w:lineRule="auto"/>
        <w:ind w:firstLineChars="200" w:firstLine="420"/>
        <w:jc w:val="left"/>
        <w:rPr>
          <w:rFonts w:ascii="仿宋_GB2312" w:eastAsia="仿宋_GB2312" w:cs="宋体"/>
          <w:kern w:val="0"/>
          <w:szCs w:val="21"/>
        </w:rPr>
      </w:pPr>
      <w:r w:rsidRPr="00FD7FE2">
        <w:rPr>
          <w:rFonts w:ascii="仿宋_GB2312" w:eastAsia="仿宋_GB2312" w:cs="宋体" w:hint="eastAsia"/>
          <w:kern w:val="0"/>
          <w:szCs w:val="21"/>
        </w:rPr>
        <w:t>2</w:t>
      </w:r>
      <w:r w:rsidRPr="00FD7FE2">
        <w:rPr>
          <w:rFonts w:ascii="仿宋_GB2312" w:eastAsia="仿宋_GB2312" w:hAnsi="仿宋" w:cs="仿宋" w:hint="eastAsia"/>
          <w:kern w:val="0"/>
          <w:szCs w:val="21"/>
        </w:rPr>
        <w:t>、【2022】年【</w:t>
      </w:r>
      <w:r w:rsidRPr="00FD7FE2">
        <w:rPr>
          <w:rFonts w:ascii="仿宋_GB2312" w:eastAsia="仿宋_GB2312" w:hAnsi="仿宋" w:cs="仿宋"/>
          <w:kern w:val="0"/>
          <w:szCs w:val="21"/>
        </w:rPr>
        <w:t>11</w:t>
      </w:r>
      <w:r w:rsidRPr="00FD7FE2">
        <w:rPr>
          <w:rFonts w:ascii="仿宋_GB2312" w:eastAsia="仿宋_GB2312" w:hAnsi="仿宋" w:cs="仿宋" w:hint="eastAsia"/>
          <w:kern w:val="0"/>
          <w:szCs w:val="21"/>
        </w:rPr>
        <w:t>】月【</w:t>
      </w:r>
      <w:r w:rsidRPr="00FD7FE2">
        <w:rPr>
          <w:rFonts w:ascii="仿宋_GB2312" w:eastAsia="仿宋_GB2312" w:hAnsi="仿宋" w:cs="仿宋"/>
          <w:kern w:val="0"/>
          <w:szCs w:val="21"/>
        </w:rPr>
        <w:t>25</w:t>
      </w:r>
      <w:r w:rsidRPr="00FD7FE2">
        <w:rPr>
          <w:rFonts w:ascii="仿宋_GB2312" w:eastAsia="仿宋_GB2312" w:hAnsi="仿宋" w:cs="仿宋" w:hint="eastAsia"/>
          <w:kern w:val="0"/>
          <w:szCs w:val="21"/>
        </w:rPr>
        <w:t>】日</w:t>
      </w:r>
      <w:r w:rsidRPr="00FD7FE2">
        <w:rPr>
          <w:rFonts w:ascii="仿宋_GB2312" w:eastAsia="仿宋_GB2312" w:cs="宋体" w:hint="eastAsia"/>
          <w:kern w:val="0"/>
          <w:szCs w:val="21"/>
        </w:rPr>
        <w:t>（含当日）</w:t>
      </w:r>
      <w:r w:rsidRPr="00FD7FE2">
        <w:rPr>
          <w:rFonts w:ascii="仿宋_GB2312" w:eastAsia="仿宋_GB2312" w:cs="宋体"/>
          <w:kern w:val="0"/>
          <w:szCs w:val="21"/>
        </w:rPr>
        <w:t>之后</w:t>
      </w:r>
      <w:r w:rsidRPr="00FD7FE2">
        <w:rPr>
          <w:rFonts w:ascii="仿宋_GB2312" w:eastAsia="仿宋_GB2312" w:cs="宋体" w:hint="eastAsia"/>
          <w:kern w:val="0"/>
          <w:szCs w:val="21"/>
        </w:rPr>
        <w:t>，持有本理财产品份额的投资者，适用变更后的理财产品销售文件。</w:t>
      </w:r>
    </w:p>
    <w:p w:rsidR="00F815E8" w:rsidRPr="00FD7FE2" w:rsidRDefault="008A52E5">
      <w:pPr>
        <w:spacing w:line="360" w:lineRule="auto"/>
        <w:ind w:firstLineChars="200" w:firstLine="420"/>
        <w:rPr>
          <w:rFonts w:ascii="仿宋_GB2312" w:eastAsia="仿宋_GB2312" w:cs="宋体"/>
          <w:kern w:val="0"/>
          <w:szCs w:val="21"/>
        </w:rPr>
      </w:pPr>
      <w:r w:rsidRPr="00FD7FE2">
        <w:rPr>
          <w:rFonts w:ascii="仿宋_GB2312" w:eastAsia="仿宋_GB2312" w:hAnsi="仿宋" w:cs="仿宋" w:hint="eastAsia"/>
          <w:kern w:val="0"/>
          <w:szCs w:val="21"/>
        </w:rPr>
        <w:t>【2022】年【</w:t>
      </w:r>
      <w:r w:rsidRPr="00FD7FE2">
        <w:rPr>
          <w:rFonts w:ascii="仿宋_GB2312" w:eastAsia="仿宋_GB2312" w:hAnsi="仿宋" w:cs="仿宋"/>
          <w:kern w:val="0"/>
          <w:szCs w:val="21"/>
        </w:rPr>
        <w:t>11</w:t>
      </w:r>
      <w:r w:rsidRPr="00FD7FE2">
        <w:rPr>
          <w:rFonts w:ascii="仿宋_GB2312" w:eastAsia="仿宋_GB2312" w:hAnsi="仿宋" w:cs="仿宋" w:hint="eastAsia"/>
          <w:kern w:val="0"/>
          <w:szCs w:val="21"/>
        </w:rPr>
        <w:t>】月【</w:t>
      </w:r>
      <w:r w:rsidRPr="00FD7FE2">
        <w:rPr>
          <w:rFonts w:ascii="仿宋_GB2312" w:eastAsia="仿宋_GB2312" w:hAnsi="仿宋" w:cs="仿宋"/>
          <w:kern w:val="0"/>
          <w:szCs w:val="21"/>
        </w:rPr>
        <w:t>25</w:t>
      </w:r>
      <w:r w:rsidRPr="00FD7FE2">
        <w:rPr>
          <w:rFonts w:ascii="仿宋_GB2312" w:eastAsia="仿宋_GB2312" w:hAnsi="仿宋" w:cs="仿宋" w:hint="eastAsia"/>
          <w:kern w:val="0"/>
          <w:szCs w:val="21"/>
        </w:rPr>
        <w:t>】日（不含当日）</w:t>
      </w:r>
      <w:r w:rsidRPr="00FD7FE2">
        <w:rPr>
          <w:rFonts w:ascii="仿宋_GB2312" w:eastAsia="仿宋_GB2312" w:cs="宋体"/>
          <w:kern w:val="0"/>
          <w:szCs w:val="21"/>
        </w:rPr>
        <w:t>之前</w:t>
      </w:r>
      <w:r w:rsidRPr="00FD7FE2">
        <w:rPr>
          <w:rFonts w:ascii="仿宋_GB2312" w:eastAsia="仿宋_GB2312" w:cs="宋体" w:hint="eastAsia"/>
          <w:kern w:val="0"/>
          <w:szCs w:val="21"/>
        </w:rPr>
        <w:t>，已持有本理财产品份额并已签署原理财产品销售文件的投资者，若不接受本次产品管理人对理财产品销售文件所做之变更，可以依照已签署的原理财产品销售文件的约定行使赎回权利赎回理财产品份额，若投资者未进行赎回而是继续持有本理财产品，则视同认可本次理财产品销售文件的变更并同意适用修订后的理财产品销售文件。</w:t>
      </w:r>
    </w:p>
    <w:p w:rsidR="00F815E8" w:rsidRPr="00FD7FE2" w:rsidRDefault="008A52E5">
      <w:pPr>
        <w:spacing w:line="360" w:lineRule="auto"/>
        <w:ind w:firstLineChars="200" w:firstLine="422"/>
        <w:rPr>
          <w:rFonts w:ascii="仿宋_GB2312" w:eastAsia="仿宋_GB2312"/>
          <w:b/>
        </w:rPr>
      </w:pPr>
      <w:r w:rsidRPr="00FD7FE2">
        <w:rPr>
          <w:rFonts w:ascii="仿宋_GB2312" w:eastAsia="仿宋_GB2312" w:hint="eastAsia"/>
          <w:b/>
        </w:rPr>
        <w:lastRenderedPageBreak/>
        <w:t>（二）理财产品销售文件的文本替换</w:t>
      </w:r>
    </w:p>
    <w:p w:rsidR="00F815E8" w:rsidRPr="00FD7FE2" w:rsidRDefault="008A52E5">
      <w:pPr>
        <w:spacing w:line="360" w:lineRule="auto"/>
        <w:ind w:firstLineChars="200" w:firstLine="420"/>
        <w:rPr>
          <w:rFonts w:ascii="仿宋_GB2312" w:eastAsia="仿宋_GB2312"/>
        </w:rPr>
      </w:pPr>
      <w:r w:rsidRPr="00FD7FE2">
        <w:rPr>
          <w:rFonts w:ascii="仿宋_GB2312" w:eastAsia="仿宋_GB2312" w:hint="eastAsia"/>
        </w:rPr>
        <w:t>管理人将在变更条款生效日后，及时替换更新理财产品销售文件文本。</w:t>
      </w:r>
    </w:p>
    <w:p w:rsidR="00F815E8" w:rsidRPr="00FD7FE2" w:rsidRDefault="008A52E5">
      <w:pPr>
        <w:spacing w:line="360" w:lineRule="auto"/>
        <w:ind w:firstLineChars="200" w:firstLine="422"/>
        <w:rPr>
          <w:rFonts w:ascii="仿宋_GB2312" w:eastAsia="仿宋_GB2312"/>
          <w:b/>
        </w:rPr>
      </w:pPr>
      <w:r w:rsidRPr="00FD7FE2">
        <w:rPr>
          <w:rFonts w:ascii="仿宋_GB2312" w:eastAsia="仿宋_GB2312" w:hint="eastAsia"/>
          <w:b/>
        </w:rPr>
        <w:t>投资者如需了解本次理财产品销售文件变更的详细内容，请在本理财产品的信息披露渠道（</w:t>
      </w:r>
      <w:r w:rsidRPr="00FD7FE2">
        <w:rPr>
          <w:rFonts w:ascii="仿宋_GB2312" w:eastAsia="仿宋_GB2312"/>
          <w:b/>
        </w:rPr>
        <w:t>产品管理人将以兴业银行或销售机构的信息披露渠道</w:t>
      </w:r>
      <w:r w:rsidRPr="00FD7FE2">
        <w:rPr>
          <w:rFonts w:ascii="仿宋_GB2312" w:eastAsia="仿宋_GB2312" w:hint="eastAsia"/>
          <w:b/>
        </w:rPr>
        <w:t>，包括但不限于兴业银行或销售机构的营业网点、门户网站、电子销售渠道等）查看变更后的理财产品销售文件。</w:t>
      </w:r>
    </w:p>
    <w:p w:rsidR="00F815E8" w:rsidRPr="00FD7FE2" w:rsidRDefault="008A52E5">
      <w:pPr>
        <w:autoSpaceDE w:val="0"/>
        <w:autoSpaceDN w:val="0"/>
        <w:adjustRightInd w:val="0"/>
        <w:spacing w:before="120" w:after="120" w:line="360" w:lineRule="auto"/>
        <w:ind w:firstLine="480"/>
        <w:jc w:val="left"/>
        <w:rPr>
          <w:rFonts w:ascii="仿宋_GB2312" w:eastAsia="仿宋_GB2312" w:cs="宋体"/>
          <w:b/>
          <w:kern w:val="0"/>
          <w:szCs w:val="21"/>
        </w:rPr>
      </w:pPr>
      <w:r w:rsidRPr="00FD7FE2">
        <w:rPr>
          <w:rFonts w:ascii="仿宋_GB2312" w:eastAsia="仿宋_GB2312" w:cs="宋体" w:hint="eastAsia"/>
          <w:b/>
          <w:kern w:val="0"/>
          <w:szCs w:val="21"/>
        </w:rPr>
        <w:t>四、</w:t>
      </w:r>
      <w:r w:rsidRPr="00FD7FE2">
        <w:rPr>
          <w:rFonts w:ascii="仿宋_GB2312" w:eastAsia="仿宋_GB2312" w:cs="宋体"/>
          <w:b/>
          <w:kern w:val="0"/>
          <w:szCs w:val="21"/>
        </w:rPr>
        <w:t>其他</w:t>
      </w:r>
    </w:p>
    <w:p w:rsidR="00F815E8" w:rsidRPr="00FD7FE2" w:rsidRDefault="008A52E5">
      <w:pPr>
        <w:autoSpaceDE w:val="0"/>
        <w:autoSpaceDN w:val="0"/>
        <w:adjustRightInd w:val="0"/>
        <w:spacing w:before="120" w:after="120" w:line="360" w:lineRule="auto"/>
        <w:ind w:firstLine="480"/>
        <w:jc w:val="left"/>
        <w:rPr>
          <w:rFonts w:ascii="仿宋_GB2312" w:eastAsia="仿宋_GB2312" w:cs="宋体"/>
          <w:kern w:val="0"/>
          <w:szCs w:val="21"/>
        </w:rPr>
      </w:pPr>
      <w:r w:rsidRPr="00FD7FE2">
        <w:rPr>
          <w:rFonts w:ascii="仿宋_GB2312" w:eastAsia="仿宋_GB2312" w:cs="宋体" w:hint="eastAsia"/>
          <w:kern w:val="0"/>
          <w:szCs w:val="21"/>
        </w:rPr>
        <w:t>如有疑问，您可向【兴业银行股份有限公司】客户服务热线【</w:t>
      </w:r>
      <w:r w:rsidRPr="00FD7FE2">
        <w:rPr>
          <w:rFonts w:ascii="仿宋_GB2312" w:eastAsia="仿宋_GB2312" w:cs="宋体"/>
          <w:kern w:val="0"/>
          <w:szCs w:val="21"/>
        </w:rPr>
        <w:t>95561</w:t>
      </w:r>
      <w:r w:rsidRPr="00FD7FE2">
        <w:rPr>
          <w:rFonts w:ascii="仿宋_GB2312" w:eastAsia="仿宋_GB2312" w:cs="宋体" w:hint="eastAsia"/>
          <w:kern w:val="0"/>
          <w:szCs w:val="21"/>
        </w:rPr>
        <w:t>】咨询；或</w:t>
      </w:r>
      <w:r w:rsidR="00F815E8" w:rsidRPr="00FD7FE2">
        <w:rPr>
          <w:rFonts w:ascii="仿宋_GB2312" w:eastAsia="仿宋_GB2312" w:cs="宋体"/>
          <w:kern w:val="0"/>
          <w:szCs w:val="21"/>
        </w:rPr>
        <w:t>可详询</w:t>
      </w:r>
      <w:r w:rsidR="00F815E8" w:rsidRPr="00FD7FE2">
        <w:rPr>
          <w:rFonts w:ascii="仿宋_GB2312" w:eastAsia="仿宋_GB2312" w:cs="宋体" w:hint="eastAsia"/>
          <w:kern w:val="0"/>
          <w:szCs w:val="21"/>
        </w:rPr>
        <w:t>我行各销售网点</w:t>
      </w:r>
      <w:r w:rsidR="00F815E8" w:rsidRPr="00FD7FE2">
        <w:rPr>
          <w:rFonts w:ascii="仿宋_GB2312" w:eastAsia="仿宋_GB2312" w:cs="宋体"/>
          <w:kern w:val="0"/>
          <w:szCs w:val="21"/>
        </w:rPr>
        <w:t>或致电96008客服热线</w:t>
      </w:r>
      <w:r w:rsidRPr="00FD7FE2">
        <w:rPr>
          <w:rFonts w:ascii="仿宋_GB2312" w:eastAsia="仿宋_GB2312" w:cs="宋体" w:hint="eastAsia"/>
          <w:kern w:val="0"/>
          <w:szCs w:val="21"/>
        </w:rPr>
        <w:t>。感谢您一直以来对【江苏</w:t>
      </w:r>
      <w:r w:rsidR="000E726F">
        <w:rPr>
          <w:rFonts w:ascii="仿宋_GB2312" w:eastAsia="仿宋_GB2312" w:cs="宋体" w:hint="eastAsia"/>
          <w:kern w:val="0"/>
          <w:szCs w:val="21"/>
        </w:rPr>
        <w:t>海安</w:t>
      </w:r>
      <w:r w:rsidRPr="00FD7FE2">
        <w:rPr>
          <w:rFonts w:ascii="仿宋_GB2312" w:eastAsia="仿宋_GB2312" w:cs="宋体" w:hint="eastAsia"/>
          <w:kern w:val="0"/>
          <w:szCs w:val="21"/>
        </w:rPr>
        <w:t>农村商业银行股份有限公司】的支持！敬请继续关注【江苏</w:t>
      </w:r>
      <w:r w:rsidR="000E726F">
        <w:rPr>
          <w:rFonts w:ascii="仿宋_GB2312" w:eastAsia="仿宋_GB2312" w:cs="宋体" w:hint="eastAsia"/>
          <w:kern w:val="0"/>
          <w:szCs w:val="21"/>
        </w:rPr>
        <w:t>海安</w:t>
      </w:r>
      <w:r w:rsidRPr="00FD7FE2">
        <w:rPr>
          <w:rFonts w:ascii="仿宋_GB2312" w:eastAsia="仿宋_GB2312" w:cs="宋体" w:hint="eastAsia"/>
          <w:kern w:val="0"/>
          <w:szCs w:val="21"/>
        </w:rPr>
        <w:t>农村商业银行股份有限公司】代理销售的理财产品。</w:t>
      </w:r>
    </w:p>
    <w:p w:rsidR="00F815E8" w:rsidRPr="00FD7FE2" w:rsidRDefault="008A52E5">
      <w:pPr>
        <w:autoSpaceDE w:val="0"/>
        <w:autoSpaceDN w:val="0"/>
        <w:adjustRightInd w:val="0"/>
        <w:spacing w:before="120" w:after="120" w:line="360" w:lineRule="auto"/>
        <w:ind w:firstLine="480"/>
        <w:jc w:val="left"/>
        <w:rPr>
          <w:rFonts w:ascii="仿宋_GB2312" w:eastAsia="仿宋_GB2312" w:cs="宋体"/>
          <w:kern w:val="0"/>
          <w:szCs w:val="21"/>
        </w:rPr>
      </w:pPr>
      <w:r w:rsidRPr="00FD7FE2">
        <w:rPr>
          <w:rFonts w:ascii="仿宋_GB2312" w:eastAsia="仿宋_GB2312" w:cs="宋体" w:hint="eastAsia"/>
          <w:kern w:val="0"/>
          <w:szCs w:val="21"/>
        </w:rPr>
        <w:t>特此公告。</w:t>
      </w:r>
    </w:p>
    <w:p w:rsidR="00F815E8" w:rsidRPr="00FD7FE2" w:rsidRDefault="00F815E8">
      <w:pPr>
        <w:autoSpaceDE w:val="0"/>
        <w:autoSpaceDN w:val="0"/>
        <w:adjustRightInd w:val="0"/>
        <w:spacing w:before="120" w:after="120" w:line="360" w:lineRule="auto"/>
        <w:ind w:firstLine="480"/>
        <w:jc w:val="left"/>
        <w:rPr>
          <w:rFonts w:ascii="仿宋_GB2312" w:eastAsia="仿宋_GB2312" w:cs="宋体"/>
          <w:kern w:val="0"/>
          <w:szCs w:val="21"/>
        </w:rPr>
      </w:pPr>
    </w:p>
    <w:p w:rsidR="00F815E8" w:rsidRPr="00FD7FE2" w:rsidRDefault="008A52E5">
      <w:pPr>
        <w:autoSpaceDE w:val="0"/>
        <w:autoSpaceDN w:val="0"/>
        <w:adjustRightInd w:val="0"/>
        <w:spacing w:before="120" w:after="120" w:line="360" w:lineRule="auto"/>
        <w:ind w:right="150" w:firstLine="480"/>
        <w:jc w:val="right"/>
        <w:rPr>
          <w:rFonts w:ascii="仿宋_GB2312" w:eastAsia="仿宋_GB2312" w:cs="宋体"/>
          <w:kern w:val="0"/>
          <w:szCs w:val="21"/>
        </w:rPr>
      </w:pPr>
      <w:r w:rsidRPr="00FD7FE2">
        <w:rPr>
          <w:rFonts w:ascii="仿宋_GB2312" w:eastAsia="仿宋_GB2312" w:cs="宋体" w:hint="eastAsia"/>
          <w:kern w:val="0"/>
          <w:szCs w:val="21"/>
        </w:rPr>
        <w:t xml:space="preserve"> 产品销售机构</w:t>
      </w:r>
      <w:r w:rsidRPr="00FD7FE2">
        <w:rPr>
          <w:rFonts w:ascii="仿宋_GB2312" w:eastAsia="仿宋_GB2312" w:cs="宋体"/>
          <w:kern w:val="0"/>
          <w:szCs w:val="21"/>
        </w:rPr>
        <w:t>：</w:t>
      </w:r>
      <w:r w:rsidRPr="00FD7FE2">
        <w:rPr>
          <w:rFonts w:ascii="仿宋_GB2312" w:eastAsia="仿宋_GB2312" w:cs="宋体" w:hint="eastAsia"/>
          <w:kern w:val="0"/>
          <w:szCs w:val="21"/>
        </w:rPr>
        <w:t>【江苏</w:t>
      </w:r>
      <w:r w:rsidR="000E726F">
        <w:rPr>
          <w:rFonts w:ascii="仿宋_GB2312" w:eastAsia="仿宋_GB2312" w:cs="宋体" w:hint="eastAsia"/>
          <w:kern w:val="0"/>
          <w:szCs w:val="21"/>
        </w:rPr>
        <w:t>海安</w:t>
      </w:r>
      <w:r w:rsidRPr="00FD7FE2">
        <w:rPr>
          <w:rFonts w:ascii="仿宋_GB2312" w:eastAsia="仿宋_GB2312" w:cs="宋体" w:hint="eastAsia"/>
          <w:kern w:val="0"/>
          <w:szCs w:val="21"/>
        </w:rPr>
        <w:t>农村商业银行股份有限公司】</w:t>
      </w:r>
    </w:p>
    <w:p w:rsidR="00F815E8" w:rsidRPr="00FD7FE2" w:rsidRDefault="008A52E5">
      <w:pPr>
        <w:spacing w:line="360" w:lineRule="auto"/>
        <w:jc w:val="right"/>
        <w:rPr>
          <w:rFonts w:ascii="仿宋_GB2312" w:eastAsia="仿宋_GB2312" w:cs="宋体"/>
          <w:kern w:val="0"/>
          <w:szCs w:val="21"/>
        </w:rPr>
      </w:pPr>
      <w:r w:rsidRPr="00FD7FE2">
        <w:rPr>
          <w:rFonts w:ascii="仿宋_GB2312" w:eastAsia="仿宋_GB2312" w:hAnsi="仿宋" w:cs="仿宋" w:hint="eastAsia"/>
          <w:kern w:val="0"/>
          <w:szCs w:val="21"/>
        </w:rPr>
        <w:t>【2022】年【11】月【</w:t>
      </w:r>
      <w:r w:rsidR="000E726F">
        <w:rPr>
          <w:rFonts w:ascii="仿宋_GB2312" w:eastAsia="仿宋_GB2312" w:hAnsi="仿宋" w:cs="仿宋" w:hint="eastAsia"/>
          <w:kern w:val="0"/>
          <w:szCs w:val="21"/>
        </w:rPr>
        <w:t>18</w:t>
      </w:r>
      <w:r w:rsidRPr="00FD7FE2">
        <w:rPr>
          <w:rFonts w:ascii="仿宋_GB2312" w:eastAsia="仿宋_GB2312" w:hAnsi="仿宋" w:cs="仿宋" w:hint="eastAsia"/>
          <w:kern w:val="0"/>
          <w:szCs w:val="21"/>
        </w:rPr>
        <w:t>】日</w:t>
      </w:r>
    </w:p>
    <w:p w:rsidR="00F815E8" w:rsidRPr="00FD7FE2" w:rsidRDefault="008A52E5">
      <w:pPr>
        <w:rPr>
          <w:rFonts w:ascii="仿宋_GB2312" w:eastAsia="仿宋_GB2312" w:cs="宋体"/>
          <w:kern w:val="0"/>
          <w:szCs w:val="21"/>
        </w:rPr>
      </w:pPr>
      <w:r w:rsidRPr="00FD7FE2">
        <w:rPr>
          <w:rFonts w:ascii="仿宋_GB2312" w:eastAsia="仿宋_GB2312" w:cs="宋体" w:hint="eastAsia"/>
          <w:kern w:val="0"/>
          <w:szCs w:val="21"/>
        </w:rPr>
        <w:br w:type="page"/>
      </w:r>
      <w:bookmarkStart w:id="0" w:name="_GoBack"/>
      <w:bookmarkEnd w:id="0"/>
    </w:p>
    <w:p w:rsidR="00F815E8" w:rsidRPr="00FD7FE2" w:rsidRDefault="00F815E8">
      <w:pPr>
        <w:spacing w:line="360" w:lineRule="auto"/>
        <w:ind w:firstLineChars="3172" w:firstLine="6661"/>
        <w:rPr>
          <w:rFonts w:ascii="仿宋_GB2312" w:eastAsia="仿宋_GB2312" w:cs="宋体"/>
          <w:kern w:val="0"/>
          <w:szCs w:val="21"/>
        </w:rPr>
      </w:pPr>
    </w:p>
    <w:p w:rsidR="00F815E8" w:rsidRPr="00FD7FE2" w:rsidRDefault="008A52E5">
      <w:pPr>
        <w:spacing w:line="360" w:lineRule="auto"/>
        <w:ind w:firstLine="422"/>
        <w:rPr>
          <w:rFonts w:ascii="仿宋_GB2312" w:eastAsia="仿宋_GB2312"/>
          <w:szCs w:val="21"/>
        </w:rPr>
      </w:pPr>
      <w:r w:rsidRPr="00FD7FE2">
        <w:rPr>
          <w:rFonts w:ascii="仿宋_GB2312" w:eastAsia="仿宋_GB2312" w:cs="宋体" w:hint="eastAsia"/>
          <w:b/>
          <w:kern w:val="0"/>
          <w:szCs w:val="21"/>
        </w:rPr>
        <w:t>附件</w:t>
      </w:r>
      <w:r w:rsidRPr="00FD7FE2">
        <w:rPr>
          <w:rFonts w:ascii="仿宋_GB2312" w:eastAsia="仿宋_GB2312" w:cs="宋体"/>
          <w:b/>
          <w:kern w:val="0"/>
          <w:szCs w:val="21"/>
        </w:rPr>
        <w:t>1</w:t>
      </w:r>
      <w:r w:rsidRPr="00FD7FE2">
        <w:rPr>
          <w:rFonts w:ascii="仿宋_GB2312" w:eastAsia="仿宋_GB2312" w:cs="宋体" w:hint="eastAsia"/>
          <w:b/>
          <w:kern w:val="0"/>
          <w:szCs w:val="21"/>
        </w:rPr>
        <w:t>：理财产品清单</w:t>
      </w:r>
    </w:p>
    <w:tbl>
      <w:tblPr>
        <w:tblW w:w="8856" w:type="dxa"/>
        <w:jc w:val="center"/>
        <w:tblLayout w:type="fixed"/>
        <w:tblLook w:val="04A0" w:firstRow="1" w:lastRow="0" w:firstColumn="1" w:lastColumn="0" w:noHBand="0" w:noVBand="1"/>
      </w:tblPr>
      <w:tblGrid>
        <w:gridCol w:w="5735"/>
        <w:gridCol w:w="1745"/>
        <w:gridCol w:w="1376"/>
      </w:tblGrid>
      <w:tr w:rsidR="00F815E8" w:rsidRPr="00FD7FE2">
        <w:trPr>
          <w:trHeight w:val="270"/>
          <w:jc w:val="center"/>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tcPr>
          <w:p w:rsidR="00F815E8" w:rsidRPr="00FD7FE2" w:rsidRDefault="008A52E5">
            <w:pPr>
              <w:widowControl/>
              <w:spacing w:line="360" w:lineRule="auto"/>
              <w:ind w:firstLine="402"/>
              <w:jc w:val="left"/>
              <w:rPr>
                <w:rFonts w:ascii="仿宋_GB2312" w:eastAsia="仿宋_GB2312"/>
                <w:b/>
                <w:bCs/>
              </w:rPr>
            </w:pPr>
            <w:r w:rsidRPr="00FD7FE2">
              <w:rPr>
                <w:rFonts w:ascii="仿宋_GB2312" w:eastAsia="仿宋_GB2312" w:hint="eastAsia"/>
                <w:b/>
                <w:bCs/>
              </w:rPr>
              <w:t>理财产品名称</w:t>
            </w:r>
          </w:p>
        </w:tc>
        <w:tc>
          <w:tcPr>
            <w:tcW w:w="1745" w:type="dxa"/>
            <w:tcBorders>
              <w:top w:val="single" w:sz="4" w:space="0" w:color="auto"/>
              <w:left w:val="single" w:sz="4" w:space="0" w:color="auto"/>
              <w:bottom w:val="single" w:sz="4" w:space="0" w:color="auto"/>
              <w:right w:val="single" w:sz="4" w:space="0" w:color="auto"/>
            </w:tcBorders>
            <w:vAlign w:val="center"/>
          </w:tcPr>
          <w:p w:rsidR="00F815E8" w:rsidRPr="00FD7FE2" w:rsidRDefault="008A52E5">
            <w:pPr>
              <w:widowControl/>
              <w:spacing w:line="360" w:lineRule="auto"/>
              <w:jc w:val="left"/>
              <w:rPr>
                <w:rFonts w:ascii="仿宋_GB2312" w:eastAsia="仿宋_GB2312"/>
                <w:b/>
                <w:bCs/>
              </w:rPr>
            </w:pPr>
            <w:r w:rsidRPr="00FD7FE2">
              <w:rPr>
                <w:rFonts w:ascii="仿宋_GB2312" w:eastAsia="仿宋_GB2312" w:hint="eastAsia"/>
                <w:b/>
                <w:bCs/>
              </w:rPr>
              <w:t>产品登记编码</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815E8" w:rsidRPr="00FD7FE2" w:rsidRDefault="008A52E5">
            <w:pPr>
              <w:widowControl/>
              <w:spacing w:line="360" w:lineRule="auto"/>
              <w:jc w:val="left"/>
              <w:rPr>
                <w:rFonts w:ascii="仿宋_GB2312" w:eastAsia="仿宋_GB2312"/>
                <w:b/>
                <w:bCs/>
              </w:rPr>
            </w:pPr>
            <w:r w:rsidRPr="00FD7FE2">
              <w:rPr>
                <w:rFonts w:ascii="仿宋_GB2312" w:eastAsia="仿宋_GB2312" w:hint="eastAsia"/>
                <w:b/>
                <w:bCs/>
              </w:rPr>
              <w:t>产品代码</w:t>
            </w:r>
          </w:p>
        </w:tc>
      </w:tr>
      <w:tr w:rsidR="00F815E8">
        <w:trPr>
          <w:trHeight w:val="270"/>
          <w:jc w:val="center"/>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tcPr>
          <w:p w:rsidR="00F815E8" w:rsidRPr="00FD7FE2" w:rsidRDefault="008A52E5">
            <w:pPr>
              <w:widowControl/>
              <w:spacing w:line="360" w:lineRule="auto"/>
              <w:jc w:val="left"/>
              <w:rPr>
                <w:rFonts w:ascii="仿宋_GB2312" w:eastAsia="仿宋_GB2312"/>
                <w:bCs/>
              </w:rPr>
            </w:pPr>
            <w:r w:rsidRPr="00FD7FE2">
              <w:rPr>
                <w:rFonts w:ascii="仿宋_GB2312" w:eastAsia="仿宋_GB2312" w:hint="eastAsia"/>
                <w:bCs/>
              </w:rPr>
              <w:t>兴业银行“现金宝-添利1号”净值型理财产品</w:t>
            </w:r>
          </w:p>
        </w:tc>
        <w:tc>
          <w:tcPr>
            <w:tcW w:w="1745" w:type="dxa"/>
            <w:tcBorders>
              <w:top w:val="single" w:sz="4" w:space="0" w:color="auto"/>
              <w:left w:val="single" w:sz="4" w:space="0" w:color="auto"/>
              <w:bottom w:val="single" w:sz="4" w:space="0" w:color="auto"/>
              <w:right w:val="single" w:sz="4" w:space="0" w:color="auto"/>
            </w:tcBorders>
            <w:vAlign w:val="center"/>
          </w:tcPr>
          <w:p w:rsidR="00F815E8" w:rsidRPr="00FD7FE2" w:rsidRDefault="008A52E5">
            <w:pPr>
              <w:widowControl/>
              <w:jc w:val="left"/>
              <w:rPr>
                <w:rFonts w:ascii="仿宋_GB2312" w:eastAsia="仿宋_GB2312"/>
                <w:bCs/>
              </w:rPr>
            </w:pPr>
            <w:r w:rsidRPr="00FD7FE2">
              <w:rPr>
                <w:rFonts w:ascii="仿宋_GB2312" w:eastAsia="仿宋_GB2312"/>
                <w:bCs/>
              </w:rPr>
              <w:t>C1030918000502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815E8" w:rsidRDefault="008A52E5">
            <w:pPr>
              <w:widowControl/>
              <w:spacing w:line="360" w:lineRule="auto"/>
              <w:jc w:val="left"/>
              <w:rPr>
                <w:rFonts w:ascii="仿宋_GB2312" w:eastAsia="仿宋_GB2312"/>
                <w:bCs/>
              </w:rPr>
            </w:pPr>
            <w:r w:rsidRPr="00FD7FE2">
              <w:rPr>
                <w:rFonts w:ascii="仿宋_GB2312" w:eastAsia="仿宋_GB2312"/>
                <w:bCs/>
              </w:rPr>
              <w:t>90318011</w:t>
            </w:r>
          </w:p>
        </w:tc>
      </w:tr>
    </w:tbl>
    <w:p w:rsidR="00F815E8" w:rsidRDefault="00F815E8">
      <w:pPr>
        <w:spacing w:line="360" w:lineRule="auto"/>
        <w:rPr>
          <w:rFonts w:ascii="仿宋_GB2312" w:eastAsia="仿宋_GB2312"/>
          <w:szCs w:val="21"/>
        </w:rPr>
      </w:pPr>
    </w:p>
    <w:sectPr w:rsidR="00F815E8" w:rsidSect="00F815E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DE" w:rsidRDefault="00AB09DE" w:rsidP="00FD7FE2">
      <w:r>
        <w:separator/>
      </w:r>
    </w:p>
  </w:endnote>
  <w:endnote w:type="continuationSeparator" w:id="0">
    <w:p w:rsidR="00AB09DE" w:rsidRDefault="00AB09DE" w:rsidP="00FD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DE" w:rsidRDefault="00AB09DE" w:rsidP="00FD7FE2">
      <w:r>
        <w:separator/>
      </w:r>
    </w:p>
  </w:footnote>
  <w:footnote w:type="continuationSeparator" w:id="0">
    <w:p w:rsidR="00AB09DE" w:rsidRDefault="00AB09DE" w:rsidP="00FD7FE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成梅">
    <w15:presenceInfo w15:providerId="None" w15:userId="黄成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wNTljODZlNmMxN2IxODkyNGQ0MzYwYjkyOGU4YWIifQ=="/>
  </w:docVars>
  <w:rsids>
    <w:rsidRoot w:val="00301B04"/>
    <w:rsid w:val="00004228"/>
    <w:rsid w:val="00007326"/>
    <w:rsid w:val="00020972"/>
    <w:rsid w:val="00033DDE"/>
    <w:rsid w:val="00037B1D"/>
    <w:rsid w:val="00060401"/>
    <w:rsid w:val="00064F32"/>
    <w:rsid w:val="000701F1"/>
    <w:rsid w:val="00073EEE"/>
    <w:rsid w:val="00082125"/>
    <w:rsid w:val="0008757D"/>
    <w:rsid w:val="00091990"/>
    <w:rsid w:val="00097F23"/>
    <w:rsid w:val="000A143A"/>
    <w:rsid w:val="000C17FA"/>
    <w:rsid w:val="000C47D9"/>
    <w:rsid w:val="000C5231"/>
    <w:rsid w:val="000D27CF"/>
    <w:rsid w:val="000E383E"/>
    <w:rsid w:val="000E4476"/>
    <w:rsid w:val="000E4A37"/>
    <w:rsid w:val="000E726F"/>
    <w:rsid w:val="001142EC"/>
    <w:rsid w:val="0012254D"/>
    <w:rsid w:val="00124A66"/>
    <w:rsid w:val="00154840"/>
    <w:rsid w:val="001625DC"/>
    <w:rsid w:val="00190151"/>
    <w:rsid w:val="001A20D3"/>
    <w:rsid w:val="001A56BE"/>
    <w:rsid w:val="001A7795"/>
    <w:rsid w:val="001B3BCB"/>
    <w:rsid w:val="001B4040"/>
    <w:rsid w:val="001B51C7"/>
    <w:rsid w:val="001B7E02"/>
    <w:rsid w:val="001C17D1"/>
    <w:rsid w:val="001C3DD8"/>
    <w:rsid w:val="001D4045"/>
    <w:rsid w:val="001D69BD"/>
    <w:rsid w:val="001E3D01"/>
    <w:rsid w:val="001E5D5B"/>
    <w:rsid w:val="001F00F0"/>
    <w:rsid w:val="001F0264"/>
    <w:rsid w:val="001F43AF"/>
    <w:rsid w:val="001F61C8"/>
    <w:rsid w:val="00200567"/>
    <w:rsid w:val="0021678E"/>
    <w:rsid w:val="00217752"/>
    <w:rsid w:val="002255BD"/>
    <w:rsid w:val="002339F0"/>
    <w:rsid w:val="00241C4A"/>
    <w:rsid w:val="00256EA1"/>
    <w:rsid w:val="0027221E"/>
    <w:rsid w:val="00284F28"/>
    <w:rsid w:val="002C4EA5"/>
    <w:rsid w:val="002D04EB"/>
    <w:rsid w:val="002D37D6"/>
    <w:rsid w:val="002D3B63"/>
    <w:rsid w:val="002D666C"/>
    <w:rsid w:val="00301B04"/>
    <w:rsid w:val="003058D6"/>
    <w:rsid w:val="00311633"/>
    <w:rsid w:val="00317BE5"/>
    <w:rsid w:val="00321618"/>
    <w:rsid w:val="00327ACE"/>
    <w:rsid w:val="003337A1"/>
    <w:rsid w:val="0033699A"/>
    <w:rsid w:val="00344407"/>
    <w:rsid w:val="003625BD"/>
    <w:rsid w:val="00370714"/>
    <w:rsid w:val="0038364E"/>
    <w:rsid w:val="003938A7"/>
    <w:rsid w:val="003B015B"/>
    <w:rsid w:val="003B24C0"/>
    <w:rsid w:val="003B2A02"/>
    <w:rsid w:val="003C0B67"/>
    <w:rsid w:val="003D093A"/>
    <w:rsid w:val="003D12B3"/>
    <w:rsid w:val="003D58C0"/>
    <w:rsid w:val="003F1828"/>
    <w:rsid w:val="003F577F"/>
    <w:rsid w:val="00407E32"/>
    <w:rsid w:val="00423726"/>
    <w:rsid w:val="0043236C"/>
    <w:rsid w:val="00443333"/>
    <w:rsid w:val="00446D92"/>
    <w:rsid w:val="00451F7A"/>
    <w:rsid w:val="004649B3"/>
    <w:rsid w:val="00470924"/>
    <w:rsid w:val="00485C47"/>
    <w:rsid w:val="004922B9"/>
    <w:rsid w:val="004B308D"/>
    <w:rsid w:val="004D253D"/>
    <w:rsid w:val="004E7B3A"/>
    <w:rsid w:val="00514701"/>
    <w:rsid w:val="00514B5A"/>
    <w:rsid w:val="00516861"/>
    <w:rsid w:val="00534588"/>
    <w:rsid w:val="00543035"/>
    <w:rsid w:val="00545FE1"/>
    <w:rsid w:val="00551101"/>
    <w:rsid w:val="0056070C"/>
    <w:rsid w:val="00582D3D"/>
    <w:rsid w:val="00585977"/>
    <w:rsid w:val="005A0120"/>
    <w:rsid w:val="005C5A3F"/>
    <w:rsid w:val="00602CFD"/>
    <w:rsid w:val="006063DD"/>
    <w:rsid w:val="006172D5"/>
    <w:rsid w:val="006206DA"/>
    <w:rsid w:val="00632452"/>
    <w:rsid w:val="00634166"/>
    <w:rsid w:val="00640A6F"/>
    <w:rsid w:val="0064349A"/>
    <w:rsid w:val="006472EC"/>
    <w:rsid w:val="006545FD"/>
    <w:rsid w:val="006607D6"/>
    <w:rsid w:val="0066600A"/>
    <w:rsid w:val="00670950"/>
    <w:rsid w:val="00671CA2"/>
    <w:rsid w:val="006806CB"/>
    <w:rsid w:val="0068600C"/>
    <w:rsid w:val="00686BED"/>
    <w:rsid w:val="00686FD1"/>
    <w:rsid w:val="00690022"/>
    <w:rsid w:val="0069252B"/>
    <w:rsid w:val="00694309"/>
    <w:rsid w:val="006A324C"/>
    <w:rsid w:val="006B46CC"/>
    <w:rsid w:val="006C334A"/>
    <w:rsid w:val="006D0A2C"/>
    <w:rsid w:val="006D6A0C"/>
    <w:rsid w:val="006D780A"/>
    <w:rsid w:val="006E49A7"/>
    <w:rsid w:val="006E611B"/>
    <w:rsid w:val="007023E6"/>
    <w:rsid w:val="00702623"/>
    <w:rsid w:val="00704D6D"/>
    <w:rsid w:val="00714C18"/>
    <w:rsid w:val="007151DC"/>
    <w:rsid w:val="00715AE6"/>
    <w:rsid w:val="00717B0F"/>
    <w:rsid w:val="007200E8"/>
    <w:rsid w:val="00721727"/>
    <w:rsid w:val="00721A19"/>
    <w:rsid w:val="00724340"/>
    <w:rsid w:val="00733625"/>
    <w:rsid w:val="00741640"/>
    <w:rsid w:val="0075271F"/>
    <w:rsid w:val="00760D22"/>
    <w:rsid w:val="00774AC8"/>
    <w:rsid w:val="007876A6"/>
    <w:rsid w:val="007879CF"/>
    <w:rsid w:val="007930FE"/>
    <w:rsid w:val="007975C6"/>
    <w:rsid w:val="00797F90"/>
    <w:rsid w:val="007A03C1"/>
    <w:rsid w:val="007A3AE3"/>
    <w:rsid w:val="007B33C9"/>
    <w:rsid w:val="007B573F"/>
    <w:rsid w:val="007C1057"/>
    <w:rsid w:val="007D41A4"/>
    <w:rsid w:val="007D74AF"/>
    <w:rsid w:val="007F3E15"/>
    <w:rsid w:val="007F3F0E"/>
    <w:rsid w:val="00802D79"/>
    <w:rsid w:val="00805A49"/>
    <w:rsid w:val="008104A2"/>
    <w:rsid w:val="00810ABD"/>
    <w:rsid w:val="0081146B"/>
    <w:rsid w:val="008245F6"/>
    <w:rsid w:val="00831409"/>
    <w:rsid w:val="00854E28"/>
    <w:rsid w:val="00855F90"/>
    <w:rsid w:val="00873CAE"/>
    <w:rsid w:val="00875051"/>
    <w:rsid w:val="00881CEF"/>
    <w:rsid w:val="008861C1"/>
    <w:rsid w:val="008A0DAB"/>
    <w:rsid w:val="008A4898"/>
    <w:rsid w:val="008A52E5"/>
    <w:rsid w:val="008C3201"/>
    <w:rsid w:val="008C48E3"/>
    <w:rsid w:val="008C49EB"/>
    <w:rsid w:val="008F11FF"/>
    <w:rsid w:val="008F5B44"/>
    <w:rsid w:val="009071A2"/>
    <w:rsid w:val="00924110"/>
    <w:rsid w:val="009313AB"/>
    <w:rsid w:val="00942A14"/>
    <w:rsid w:val="0094434E"/>
    <w:rsid w:val="0097068A"/>
    <w:rsid w:val="009733EA"/>
    <w:rsid w:val="00986D83"/>
    <w:rsid w:val="009B013F"/>
    <w:rsid w:val="009C0B7D"/>
    <w:rsid w:val="009C18B7"/>
    <w:rsid w:val="009F7D8D"/>
    <w:rsid w:val="00A01A1D"/>
    <w:rsid w:val="00A13B67"/>
    <w:rsid w:val="00A1639D"/>
    <w:rsid w:val="00A20E18"/>
    <w:rsid w:val="00A348BF"/>
    <w:rsid w:val="00A36C7D"/>
    <w:rsid w:val="00A4182C"/>
    <w:rsid w:val="00A54ABA"/>
    <w:rsid w:val="00A605DE"/>
    <w:rsid w:val="00A6421F"/>
    <w:rsid w:val="00AB09DE"/>
    <w:rsid w:val="00AB0A8E"/>
    <w:rsid w:val="00AB654B"/>
    <w:rsid w:val="00AC1A56"/>
    <w:rsid w:val="00AE5730"/>
    <w:rsid w:val="00B148B0"/>
    <w:rsid w:val="00B152FE"/>
    <w:rsid w:val="00B47DD8"/>
    <w:rsid w:val="00B62F56"/>
    <w:rsid w:val="00B671C5"/>
    <w:rsid w:val="00B73389"/>
    <w:rsid w:val="00B81CF9"/>
    <w:rsid w:val="00B91E80"/>
    <w:rsid w:val="00B9290A"/>
    <w:rsid w:val="00BA0DC5"/>
    <w:rsid w:val="00BA6081"/>
    <w:rsid w:val="00BD600E"/>
    <w:rsid w:val="00BF2549"/>
    <w:rsid w:val="00C3166F"/>
    <w:rsid w:val="00C37A5A"/>
    <w:rsid w:val="00C671AB"/>
    <w:rsid w:val="00C86852"/>
    <w:rsid w:val="00C94357"/>
    <w:rsid w:val="00CA49C7"/>
    <w:rsid w:val="00CC0741"/>
    <w:rsid w:val="00CC1DFA"/>
    <w:rsid w:val="00CC2EBF"/>
    <w:rsid w:val="00CC7DE5"/>
    <w:rsid w:val="00CF01E9"/>
    <w:rsid w:val="00CF09B8"/>
    <w:rsid w:val="00CF16E0"/>
    <w:rsid w:val="00CF688C"/>
    <w:rsid w:val="00CF7F39"/>
    <w:rsid w:val="00D00710"/>
    <w:rsid w:val="00D14DF4"/>
    <w:rsid w:val="00D20BEE"/>
    <w:rsid w:val="00D316BC"/>
    <w:rsid w:val="00D327C3"/>
    <w:rsid w:val="00D54EA8"/>
    <w:rsid w:val="00D57A68"/>
    <w:rsid w:val="00D6767E"/>
    <w:rsid w:val="00D8178F"/>
    <w:rsid w:val="00D9333B"/>
    <w:rsid w:val="00DA6E66"/>
    <w:rsid w:val="00DB70DC"/>
    <w:rsid w:val="00DC18AB"/>
    <w:rsid w:val="00DC2FCC"/>
    <w:rsid w:val="00DC3F47"/>
    <w:rsid w:val="00DC6456"/>
    <w:rsid w:val="00DD2E15"/>
    <w:rsid w:val="00DE2599"/>
    <w:rsid w:val="00DE6EEF"/>
    <w:rsid w:val="00DE7CF4"/>
    <w:rsid w:val="00E0420A"/>
    <w:rsid w:val="00E1732D"/>
    <w:rsid w:val="00E3164A"/>
    <w:rsid w:val="00E44949"/>
    <w:rsid w:val="00E72E6E"/>
    <w:rsid w:val="00E85D36"/>
    <w:rsid w:val="00E95573"/>
    <w:rsid w:val="00EC07E8"/>
    <w:rsid w:val="00ED72EB"/>
    <w:rsid w:val="00EE052B"/>
    <w:rsid w:val="00EF633A"/>
    <w:rsid w:val="00F01DF5"/>
    <w:rsid w:val="00F070B5"/>
    <w:rsid w:val="00F815E8"/>
    <w:rsid w:val="00F81EC6"/>
    <w:rsid w:val="00FB1250"/>
    <w:rsid w:val="00FB2A5E"/>
    <w:rsid w:val="00FB3BC9"/>
    <w:rsid w:val="00FB6588"/>
    <w:rsid w:val="00FB6D1E"/>
    <w:rsid w:val="00FC1578"/>
    <w:rsid w:val="00FC21CB"/>
    <w:rsid w:val="00FC2C66"/>
    <w:rsid w:val="00FC61BD"/>
    <w:rsid w:val="00FD7FE2"/>
    <w:rsid w:val="00FE3EB1"/>
    <w:rsid w:val="00FE4EA8"/>
    <w:rsid w:val="00FE54F8"/>
    <w:rsid w:val="00FF06BD"/>
    <w:rsid w:val="00FF787C"/>
    <w:rsid w:val="01F1607B"/>
    <w:rsid w:val="080E6924"/>
    <w:rsid w:val="0E9D7EB8"/>
    <w:rsid w:val="30917E84"/>
    <w:rsid w:val="33114BA2"/>
    <w:rsid w:val="332815BF"/>
    <w:rsid w:val="67CB4D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815E8"/>
    <w:pPr>
      <w:jc w:val="left"/>
    </w:pPr>
  </w:style>
  <w:style w:type="paragraph" w:styleId="a4">
    <w:name w:val="Balloon Text"/>
    <w:basedOn w:val="a"/>
    <w:link w:val="Char0"/>
    <w:uiPriority w:val="99"/>
    <w:semiHidden/>
    <w:unhideWhenUsed/>
    <w:qFormat/>
    <w:rsid w:val="00F815E8"/>
    <w:rPr>
      <w:sz w:val="18"/>
      <w:szCs w:val="18"/>
    </w:rPr>
  </w:style>
  <w:style w:type="paragraph" w:styleId="a5">
    <w:name w:val="footer"/>
    <w:basedOn w:val="a"/>
    <w:link w:val="Char1"/>
    <w:uiPriority w:val="99"/>
    <w:unhideWhenUsed/>
    <w:rsid w:val="00F815E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815E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F815E8"/>
    <w:rPr>
      <w:b/>
      <w:bCs/>
    </w:rPr>
  </w:style>
  <w:style w:type="table" w:styleId="a8">
    <w:name w:val="Table Grid"/>
    <w:basedOn w:val="a1"/>
    <w:qFormat/>
    <w:rsid w:val="00F81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F815E8"/>
    <w:rPr>
      <w:color w:val="0563C1" w:themeColor="hyperlink"/>
      <w:u w:val="single"/>
    </w:rPr>
  </w:style>
  <w:style w:type="character" w:styleId="aa">
    <w:name w:val="annotation reference"/>
    <w:basedOn w:val="a0"/>
    <w:unhideWhenUsed/>
    <w:qFormat/>
    <w:rsid w:val="00F815E8"/>
    <w:rPr>
      <w:sz w:val="21"/>
      <w:szCs w:val="21"/>
    </w:rPr>
  </w:style>
  <w:style w:type="character" w:customStyle="1" w:styleId="Char2">
    <w:name w:val="页眉 Char"/>
    <w:basedOn w:val="a0"/>
    <w:link w:val="a6"/>
    <w:uiPriority w:val="99"/>
    <w:qFormat/>
    <w:rsid w:val="00F815E8"/>
    <w:rPr>
      <w:sz w:val="18"/>
      <w:szCs w:val="18"/>
    </w:rPr>
  </w:style>
  <w:style w:type="character" w:customStyle="1" w:styleId="Char1">
    <w:name w:val="页脚 Char"/>
    <w:basedOn w:val="a0"/>
    <w:link w:val="a5"/>
    <w:uiPriority w:val="99"/>
    <w:qFormat/>
    <w:rsid w:val="00F815E8"/>
    <w:rPr>
      <w:sz w:val="18"/>
      <w:szCs w:val="18"/>
    </w:rPr>
  </w:style>
  <w:style w:type="character" w:customStyle="1" w:styleId="Char0">
    <w:name w:val="批注框文本 Char"/>
    <w:basedOn w:val="a0"/>
    <w:link w:val="a4"/>
    <w:uiPriority w:val="99"/>
    <w:semiHidden/>
    <w:qFormat/>
    <w:rsid w:val="00F815E8"/>
    <w:rPr>
      <w:sz w:val="18"/>
      <w:szCs w:val="18"/>
    </w:rPr>
  </w:style>
  <w:style w:type="character" w:customStyle="1" w:styleId="Char">
    <w:name w:val="批注文字 Char"/>
    <w:basedOn w:val="a0"/>
    <w:link w:val="a3"/>
    <w:uiPriority w:val="99"/>
    <w:qFormat/>
    <w:rsid w:val="00F815E8"/>
    <w:rPr>
      <w:kern w:val="2"/>
      <w:sz w:val="21"/>
      <w:szCs w:val="22"/>
    </w:rPr>
  </w:style>
  <w:style w:type="character" w:customStyle="1" w:styleId="Char3">
    <w:name w:val="批注主题 Char"/>
    <w:basedOn w:val="Char"/>
    <w:link w:val="a7"/>
    <w:uiPriority w:val="99"/>
    <w:semiHidden/>
    <w:qFormat/>
    <w:rsid w:val="00F815E8"/>
    <w:rPr>
      <w:b/>
      <w:bCs/>
      <w:kern w:val="2"/>
      <w:sz w:val="21"/>
      <w:szCs w:val="22"/>
    </w:rPr>
  </w:style>
  <w:style w:type="paragraph" w:customStyle="1" w:styleId="Default">
    <w:name w:val="Default"/>
    <w:qFormat/>
    <w:rsid w:val="00F815E8"/>
    <w:pPr>
      <w:widowControl w:val="0"/>
      <w:autoSpaceDE w:val="0"/>
      <w:autoSpaceDN w:val="0"/>
      <w:adjustRightInd w:val="0"/>
    </w:pPr>
    <w:rPr>
      <w:rFonts w:ascii="宋体" w:hAnsi="Calibri" w:cs="宋体"/>
      <w:color w:val="000000"/>
      <w:sz w:val="24"/>
      <w:szCs w:val="24"/>
    </w:rPr>
  </w:style>
  <w:style w:type="paragraph" w:styleId="ab">
    <w:name w:val="List Paragraph"/>
    <w:basedOn w:val="a"/>
    <w:uiPriority w:val="99"/>
    <w:qFormat/>
    <w:rsid w:val="00F815E8"/>
    <w:pPr>
      <w:ind w:firstLineChars="200" w:firstLine="420"/>
    </w:pPr>
  </w:style>
  <w:style w:type="paragraph" w:customStyle="1" w:styleId="1">
    <w:name w:val="修订1"/>
    <w:hidden/>
    <w:uiPriority w:val="99"/>
    <w:semiHidden/>
    <w:qFormat/>
    <w:rsid w:val="00F815E8"/>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BFE3F-7636-4FA8-BBBD-0088CF6D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1165</Words>
  <Characters>6644</Characters>
  <Application>Microsoft Office Word</Application>
  <DocSecurity>0</DocSecurity>
  <Lines>55</Lines>
  <Paragraphs>15</Paragraphs>
  <ScaleCrop>false</ScaleCrop>
  <Company>神州网信技术有限公司</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陈旭</dc:creator>
  <cp:lastModifiedBy>xb21cn</cp:lastModifiedBy>
  <cp:revision>6</cp:revision>
  <dcterms:created xsi:type="dcterms:W3CDTF">2022-11-18T01:49:00Z</dcterms:created>
  <dcterms:modified xsi:type="dcterms:W3CDTF">2022-11-22T08:58:00Z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DE895973450045EC8008FEE9FC889B7A</vt:lpwstr>
  </property>
</Properties>
</file>